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w:t>
      </w:r>
      <w:bookmarkStart w:id="0" w:name="_GoBack"/>
      <w:bookmarkEnd w:id="0"/>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ANAYASAYA AYKIRILIĞIN DEĞERLENDİRİLMESİ</w:t>
      </w:r>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Yukarıda belirtilen madde hükmü bir hukuk devletinde olması gereken “Hukuki Güvenlik İlkesi” aykırıdır. Hukuk devletinde devlet, hukuk güvenliğini sağlama yükümlüdür. Hukuki güvenlik ilkesi kural olarak yasaların geriye yürütülmemesini gerekli kılar. “Yasaların Geriye Yürümezliği İlkesi” uyarınca yasalar kural olarak yürürlük tarihlerinden sonraki olay, işlem ve eylemlere uygulanmak üzere çıkarılırlar. Yürürlüğe giren yasaların geçmişe ve kesin nitelik kazanmış hukuksal durumlara etkili olamaması hukukun genel ilkelerinden “Kazanılmış Hakların Korunması” ilkesinin gereğidir.</w:t>
      </w:r>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Bununla birlikte hukuki güvenlik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İtiraz konusu yasa ile devam eden davalar için yasayla geriye dönük olarak açık bir müdahale yapılmıştır.</w:t>
      </w:r>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Somut vakıada davalı Kurum, tüketiciden alınmaması gereken kayıp kaçak bedellerini davacıdan tahsil etmiştir ki, kayıp kaçak bedellerinin nihai tüketiciye yansıtılamayacağı istikrarlı Yargıtay uygulamaları ile sabittir. (YHGK, 21/05/2014 gün ve E.2013/7-2454,K.2014/679 sayılı karan ve Yargıtay 3. HD’nin yerleşik içtihatları).Eldeki davada, davacı, dava açıldığı tarihte hukuka aykırı olarak tahsil edilen kayıp kaçak bedelinin iadesini talep etmiş, bu davanın gerektirdiği mahkeme masraflarına katlanmıştır. Davacı istikrarlı Yargıtay uygulamalarına göre kazanmayı beklediği -meşru beklenti ilkesi gereği- işbu davayı, iptali talep edilen Kanun hükmü nedeniyle kaybedecektir. Başka bir ifadeyle meşru beklenti seviyesinde kazanılması umulan davanın, belirtilen Kanun hükmüyle kesin olarak reddedilecek olması Anayasa’nın 2. maddesinde yer alan hukuk devleti ilkesine aykırıdır.</w:t>
      </w:r>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 xml:space="preserve">Diğer taraftan itiraz konusu kural Anayasa’nın 36. maddesinde garanti altına alınan adil yargılanma hakkına aykırıdır. Zira adil yargılanma hakkı gereği kişiler açtıkları davaların -kamusal veya değil- herhangi bir müdahale olmaksızın bağımsız ve tarafsız biçimde görülmesini isteme hakkına sahiptir. Oysa itiraz konusu kural ile devam eden davalara müdahale edilmekte ve davalı lehine belli bir avantaj sağlanmaktadır. Nitekim Avrupa İnsan Hakları Mahkemesine (AİHM) göre devam eden davalara belli bir sonucu garanti etmek adına yasa ile yapılan kamu müdahaleleri Sözleşme’nin 6. Maddesinde güvenceye kavuşturulan adil yargılanma hakkını ihlal eder. AÎHM, ihlal bulduğu kararlarda, özellikle yargılama sırasında yürürlüğe giren kanunla yapılan müdahalenin “zamanlaması ve şekli”ni dikkate almış, karar verme aşamasına yakın bir zamanda yargılamanın sonucuna etki edecek şekilde yapılmış olan müdahaleler yönünden ihlal tespit etmiştir (Bkz.: Stran Greek Refineries ve Stratis Andreadis/Yunanistan. 49-50); Zielinski ve Pradal ve Gonzalez ve Diğerleri/Fransa [BD], B. No: 24846/94 34165/96 34166/96 ve diğer 7 başvuru numarası. 28/10/1999, 59; Papageorgiou/Yunansitan, B. No: 24628/94, 22/10/1997; Anagnostopoulos ve Diğerleri/Yunanistanan, B. No: 39374/98, 7/11/2000. </w:t>
      </w:r>
      <w:r w:rsidRPr="00D967D9">
        <w:rPr>
          <w:rStyle w:val="Gvdemetni"/>
          <w:rFonts w:eastAsia="Courier New"/>
          <w:sz w:val="24"/>
          <w:szCs w:val="26"/>
        </w:rPr>
        <w:t>20-21).</w:t>
      </w:r>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AİHM müdahalenin ‘‘öngörülebilir’ olmasını, “belli bir davayı hedef almamasını “az miktarda olması”nı, “zorlayıcı bir kamu yararı taşımasını ve “davanın esasının mahkemelerce incelenmesi”ni şart koşmuştur (Bkz.: (National &amp; Provincial Building Society, Leeds Permanent Building Society ve Yorkshire Building Society/Birleşik Krallık, &amp; 1 12; Forrer-</w:t>
      </w:r>
      <w:r w:rsidRPr="00D967D9">
        <w:rPr>
          <w:rFonts w:ascii="Times New Roman" w:hAnsi="Times New Roman" w:cs="Times New Roman"/>
          <w:szCs w:val="26"/>
        </w:rPr>
        <w:lastRenderedPageBreak/>
        <w:t>Niedenthaî/Almanya, B. No: 21319/93 21449/93 21675/93, 23/10/1997 &amp; 64; OGIS- Institut Stanislas, OGEC Saint-Pie X ve Blanche de Castille ve Diğerleri/Fransa, B. No: 42219/98 54563/00, 27/5/2004, &amp; 71-72).</w:t>
      </w:r>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İtiraz başvurusuna konu kural bu açıdan değerlendirildiğinde; öncelikle ilgili kural öngörülebilir değildir, zira davacılar açısından dava açıldığı tarihte bu yönde bir tahminde bulunmak olanaksızdır. Yine ilgili kural belli bir davayı hedef almamakla birlikte sonuçlan itibarıyla mali hakları ciddi tutarlarda etkilemektedir. Ayrıca ilgili kuralın yasama organınca hangi zorlayıcı kamu yaran gereğince kabul edildiği belli değildir. Oysa devam eden davalara belli bir sonucu garanti edecek biçimde müdahale eden ilgili kuralın hangi zorlayıcı kamu yararına matuf kabul edildiğinin açıklanması gerekir. Son olarak ilgili kural gereği mahkemelerin davanın esasını inceleyebilmesi olanaksızdır, çünkü mahkemeler ilgili kuralın amir hükmü gereği davayı davacının aleyhine sonuçlandırmak durumundadır.</w:t>
      </w:r>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Yukarıdaki açıklamalar ışığında; İtiraz konusu Kanun hükmü Anayasa’nın 2. maddesinde yerini bulan HUKUK DEVLETİ ilkesini ve 36. maddesinde yer alan ADİL YARGILANMA HAKKINI ihlal etmektedir.</w:t>
      </w:r>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SONUÇ VE İSTEM:</w:t>
      </w:r>
    </w:p>
    <w:p w:rsidR="00D967D9" w:rsidRDefault="00D967D9" w:rsidP="00D967D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967D9">
        <w:rPr>
          <w:rFonts w:ascii="Times New Roman" w:hAnsi="Times New Roman" w:cs="Times New Roman"/>
          <w:szCs w:val="26"/>
        </w:rPr>
        <w:t>Yukarıda açıklanan nedenlerle, Anayasa</w:t>
      </w:r>
      <w:r w:rsidRPr="00D967D9">
        <w:rPr>
          <w:rFonts w:ascii="Times New Roman" w:hAnsi="Times New Roman" w:cs="Times New Roman"/>
          <w:szCs w:val="26"/>
          <w:vertAlign w:val="superscript"/>
        </w:rPr>
        <w:t>7</w:t>
      </w:r>
      <w:r w:rsidRPr="00D967D9">
        <w:rPr>
          <w:rFonts w:ascii="Times New Roman" w:hAnsi="Times New Roman" w:cs="Times New Roman"/>
          <w:szCs w:val="26"/>
        </w:rPr>
        <w:t>nm 152. maddesinin birinci fıkrası ile 6216 sayılı Anayasa Mahkemesinin Kuruluşu ve Yargılama Usulleri Hakkında Kanunun 40. maddesi uyarınca, bakılan davada uygulanacak kuralın; Anayasa’nın 2, ve 36. maddelerine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08/11/2016 tarihinde karar verildi.”</w:t>
      </w:r>
    </w:p>
    <w:p w:rsidR="001D02E4" w:rsidRPr="00D967D9" w:rsidRDefault="001D02E4" w:rsidP="00D967D9">
      <w:pPr>
        <w:widowControl/>
        <w:spacing w:before="240" w:after="100" w:afterAutospacing="1"/>
        <w:ind w:firstLine="709"/>
        <w:jc w:val="both"/>
        <w:rPr>
          <w:rFonts w:ascii="Times New Roman" w:hAnsi="Times New Roman" w:cs="Times New Roman"/>
        </w:rPr>
      </w:pPr>
    </w:p>
    <w:sectPr w:rsidR="001D02E4" w:rsidRPr="00D967D9" w:rsidSect="00D967D9">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23" w:rsidRDefault="00486823" w:rsidP="00D967D9">
      <w:r>
        <w:separator/>
      </w:r>
    </w:p>
  </w:endnote>
  <w:endnote w:type="continuationSeparator" w:id="0">
    <w:p w:rsidR="00486823" w:rsidRDefault="00486823" w:rsidP="00D9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9" w:rsidRDefault="00D967D9" w:rsidP="009A65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67D9" w:rsidRDefault="00D967D9" w:rsidP="00D967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9" w:rsidRPr="00D967D9" w:rsidRDefault="00D967D9" w:rsidP="009A653B">
    <w:pPr>
      <w:pStyle w:val="Altbilgi"/>
      <w:framePr w:wrap="around" w:vAnchor="text" w:hAnchor="margin" w:xAlign="right" w:y="1"/>
      <w:rPr>
        <w:rStyle w:val="SayfaNumaras"/>
        <w:rFonts w:ascii="Times New Roman" w:hAnsi="Times New Roman" w:cs="Times New Roman"/>
      </w:rPr>
    </w:pPr>
    <w:r w:rsidRPr="00D967D9">
      <w:rPr>
        <w:rStyle w:val="SayfaNumaras"/>
        <w:rFonts w:ascii="Times New Roman" w:hAnsi="Times New Roman" w:cs="Times New Roman"/>
      </w:rPr>
      <w:fldChar w:fldCharType="begin"/>
    </w:r>
    <w:r w:rsidRPr="00D967D9">
      <w:rPr>
        <w:rStyle w:val="SayfaNumaras"/>
        <w:rFonts w:ascii="Times New Roman" w:hAnsi="Times New Roman" w:cs="Times New Roman"/>
      </w:rPr>
      <w:instrText xml:space="preserve">PAGE  </w:instrText>
    </w:r>
    <w:r w:rsidRPr="00D967D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967D9">
      <w:rPr>
        <w:rStyle w:val="SayfaNumaras"/>
        <w:rFonts w:ascii="Times New Roman" w:hAnsi="Times New Roman" w:cs="Times New Roman"/>
      </w:rPr>
      <w:fldChar w:fldCharType="end"/>
    </w:r>
  </w:p>
  <w:p w:rsidR="00D967D9" w:rsidRPr="00D967D9" w:rsidRDefault="00D967D9" w:rsidP="00D967D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23" w:rsidRDefault="00486823" w:rsidP="00D967D9">
      <w:r>
        <w:separator/>
      </w:r>
    </w:p>
  </w:footnote>
  <w:footnote w:type="continuationSeparator" w:id="0">
    <w:p w:rsidR="00486823" w:rsidRDefault="00486823" w:rsidP="00D9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9" w:rsidRPr="00F001D6" w:rsidRDefault="00D967D9" w:rsidP="00D967D9">
    <w:pPr>
      <w:widowControl/>
      <w:shd w:val="clear" w:color="auto" w:fill="FFFFFF"/>
      <w:jc w:val="both"/>
      <w:rPr>
        <w:rFonts w:ascii="Times New Roman" w:eastAsia="Times New Roman" w:hAnsi="Times New Roman" w:cs="Times New Roman"/>
        <w:b/>
        <w:bCs/>
        <w:szCs w:val="26"/>
      </w:rPr>
    </w:pPr>
    <w:r w:rsidRPr="00F001D6">
      <w:rPr>
        <w:rFonts w:ascii="Times New Roman" w:eastAsia="Times New Roman" w:hAnsi="Times New Roman" w:cs="Times New Roman"/>
        <w:b/>
        <w:bCs/>
        <w:szCs w:val="26"/>
      </w:rPr>
      <w:t>Esas Sayısı     :  2017/6</w:t>
    </w:r>
  </w:p>
  <w:p w:rsidR="00D967D9" w:rsidRPr="00F001D6" w:rsidRDefault="00D967D9" w:rsidP="00D967D9">
    <w:pPr>
      <w:widowControl/>
      <w:shd w:val="clear" w:color="auto" w:fill="FFFFFF"/>
      <w:jc w:val="both"/>
      <w:rPr>
        <w:rFonts w:ascii="Times New Roman" w:eastAsia="Times New Roman" w:hAnsi="Times New Roman" w:cs="Times New Roman"/>
        <w:b/>
        <w:bCs/>
        <w:szCs w:val="26"/>
      </w:rPr>
    </w:pPr>
    <w:r w:rsidRPr="00F001D6">
      <w:rPr>
        <w:rFonts w:ascii="Times New Roman" w:eastAsia="Times New Roman" w:hAnsi="Times New Roman" w:cs="Times New Roman"/>
        <w:b/>
        <w:bCs/>
        <w:szCs w:val="26"/>
      </w:rPr>
      <w:t>Karar Sayısı  :  2017/4</w:t>
    </w:r>
  </w:p>
  <w:p w:rsidR="00D967D9" w:rsidRPr="00D967D9" w:rsidRDefault="00D967D9" w:rsidP="00D967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D9"/>
    <w:rsid w:val="001D02E4"/>
    <w:rsid w:val="00486823"/>
    <w:rsid w:val="00D96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14ED1-C8F5-4028-A50D-599CEB39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67D9"/>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D967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paragraph" w:styleId="stbilgi">
    <w:name w:val="header"/>
    <w:basedOn w:val="Normal"/>
    <w:link w:val="stbilgiChar"/>
    <w:uiPriority w:val="99"/>
    <w:unhideWhenUsed/>
    <w:rsid w:val="00D967D9"/>
    <w:pPr>
      <w:tabs>
        <w:tab w:val="center" w:pos="4536"/>
        <w:tab w:val="right" w:pos="9072"/>
      </w:tabs>
    </w:pPr>
  </w:style>
  <w:style w:type="character" w:customStyle="1" w:styleId="stbilgiChar">
    <w:name w:val="Üstbilgi Char"/>
    <w:basedOn w:val="VarsaylanParagrafYazTipi"/>
    <w:link w:val="stbilgi"/>
    <w:uiPriority w:val="99"/>
    <w:rsid w:val="00D967D9"/>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D967D9"/>
    <w:pPr>
      <w:tabs>
        <w:tab w:val="center" w:pos="4536"/>
        <w:tab w:val="right" w:pos="9072"/>
      </w:tabs>
    </w:pPr>
  </w:style>
  <w:style w:type="character" w:customStyle="1" w:styleId="AltbilgiChar">
    <w:name w:val="Altbilgi Char"/>
    <w:basedOn w:val="VarsaylanParagrafYazTipi"/>
    <w:link w:val="Altbilgi"/>
    <w:uiPriority w:val="99"/>
    <w:rsid w:val="00D967D9"/>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D9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2019-04-10T06:46:00Z</dcterms:created>
  <dcterms:modified xsi:type="dcterms:W3CDTF">2019-04-10T06:47:00Z</dcterms:modified>
</cp:coreProperties>
</file>