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DA9" w:rsidRDefault="001E7DA9" w:rsidP="001E7DA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E7DA9">
        <w:rPr>
          <w:rFonts w:ascii="Times New Roman" w:hAnsi="Times New Roman" w:cs="Times New Roman"/>
          <w:szCs w:val="26"/>
        </w:rPr>
        <w:t>“ANAYASA MAHKEMESİNE BAŞVURU ŞEKLİ VE NEDENİ: Anayasanın 152/1. maddesinde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hükmü düzenlenmektedir.</w:t>
      </w:r>
    </w:p>
    <w:p w:rsidR="001E7DA9" w:rsidRDefault="001E7DA9" w:rsidP="001E7DA9">
      <w:pPr>
        <w:widowControl/>
        <w:tabs>
          <w:tab w:val="left" w:pos="1134"/>
        </w:tabs>
        <w:spacing w:before="240" w:after="100" w:afterAutospacing="1"/>
        <w:ind w:firstLine="709"/>
        <w:jc w:val="both"/>
        <w:rPr>
          <w:rFonts w:ascii="Times New Roman" w:hAnsi="Times New Roman" w:cs="Times New Roman"/>
          <w:color w:val="auto"/>
          <w:szCs w:val="26"/>
        </w:rPr>
      </w:pPr>
      <w:r>
        <w:rPr>
          <w:rFonts w:ascii="Times New Roman" w:hAnsi="Times New Roman" w:cs="Times New Roman"/>
          <w:szCs w:val="26"/>
        </w:rPr>
        <w:t xml:space="preserve"> </w:t>
      </w:r>
      <w:r w:rsidRPr="001E7DA9">
        <w:rPr>
          <w:rFonts w:ascii="Times New Roman" w:hAnsi="Times New Roman" w:cs="Times New Roman"/>
          <w:color w:val="auto"/>
          <w:szCs w:val="26"/>
        </w:rPr>
        <w:t>Bakılan davada, davacının maliki olduğu, Adana İli, Çukurova İlçesi, Kireçocağı Mahallesi, 2855 ada 15 parsel sayılı  taşınmazın imar planlarında ağaçlandırılacak alan olarak  planlanmasına rağmen kamulaştırılmadığı  bu nedenle davacının mülkiyet hakkı kısıtlanarak  zarara uğratıldığından  bahisle fazlaya ilişkin hakları saklı  kalmak kaydı ile 10.000,00-TL  tazminat ve ayrıca kamulaştırmasız elatma işlemi tarihinden itibaren  işleyecek yasal faiziyle ödenmesi ile ilgili dava konusu uyuşmazlığa 2942 sayılı Kamulaştırma Yasasına eklenen geçici 11. maddesinde belirtilen cümlesi uygulanacak yasal hüküm durumunda bulunmaktadır.</w:t>
      </w:r>
    </w:p>
    <w:p w:rsidR="001E7DA9" w:rsidRDefault="001E7DA9" w:rsidP="001E7DA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color w:val="auto"/>
          <w:szCs w:val="26"/>
        </w:rPr>
        <w:t xml:space="preserve"> </w:t>
      </w:r>
      <w:r w:rsidRPr="001E7DA9">
        <w:rPr>
          <w:rFonts w:ascii="Times New Roman" w:hAnsi="Times New Roman" w:cs="Times New Roman"/>
          <w:color w:val="auto"/>
          <w:szCs w:val="26"/>
        </w:rPr>
        <w:t xml:space="preserve">Anayasa'nın 2. maddesinde, Türkiye Cumhuriyeti'nin bir hukuk </w:t>
      </w:r>
      <w:r w:rsidRPr="001E7DA9">
        <w:rPr>
          <w:rFonts w:ascii="Times New Roman" w:hAnsi="Times New Roman" w:cs="Times New Roman"/>
          <w:szCs w:val="26"/>
        </w:rPr>
        <w:t>devleti olduğu belirtilmiştir. Hukuk devleti, eylem ve işlemleri hukuka uygun olan, insan haklarına saygılı, bu hak ve özgürlükleri koruyup güçlendiren, her alanda adil bir hukuk düzeni kurup bunu geliştirerek sürdüren, Anayasa’ya aykırı durum ve tutumlardan kaçman, hukukun üstün kurallarıyla kendini bağlı sayan ve yargı denetimine açık olan devlettir.</w:t>
      </w:r>
    </w:p>
    <w:p w:rsidR="001E7DA9" w:rsidRDefault="001E7DA9" w:rsidP="001E7DA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E7DA9">
        <w:rPr>
          <w:rFonts w:ascii="Times New Roman" w:hAnsi="Times New Roman" w:cs="Times New Roman"/>
          <w:szCs w:val="26"/>
        </w:rPr>
        <w:t>Hukuk devletinde kişilerin temel hak ve özgürlüklerinin sağlanması ve korunması esas olduğundan, kişilere etkili hak arama olanağı sağlayan güvencelerin de tanınması gerekmektedir. Bu çerçevede Anayasa'nın “H</w:t>
      </w:r>
      <w:r w:rsidRPr="001E7DA9">
        <w:rPr>
          <w:rStyle w:val="Gvdemetni"/>
          <w:rFonts w:eastAsia="Courier New"/>
          <w:sz w:val="24"/>
          <w:szCs w:val="26"/>
        </w:rPr>
        <w:t>ak arama</w:t>
      </w:r>
      <w:r w:rsidRPr="001E7DA9">
        <w:rPr>
          <w:rFonts w:ascii="Times New Roman" w:hAnsi="Times New Roman" w:cs="Times New Roman"/>
          <w:szCs w:val="26"/>
        </w:rPr>
        <w:t xml:space="preserve"> hürriyeti” başlıklı 36. maddesinin 1. fıkrasında, “Herkes, meşru vasıta ve yollardan faydalanmak suretiyle yargı mercileri önünde davacı veya davalı olarak iddia ve savunda ile adil yargılanma hakkına sahiptir.” denilerek, herkese, adaleti bulma, hakkı olanı elde etme ve haksızlığı giderme olanağı sağlanmıştır. Böylece kişilerin hukuki güvenlikleri etkin bir korunma mekanizma</w:t>
      </w:r>
      <w:r w:rsidRPr="001E7DA9">
        <w:rPr>
          <w:rStyle w:val="Gvdemetni"/>
          <w:rFonts w:eastAsia="Courier New"/>
          <w:sz w:val="24"/>
          <w:szCs w:val="26"/>
        </w:rPr>
        <w:t xml:space="preserve">sına </w:t>
      </w:r>
      <w:r w:rsidRPr="001E7DA9">
        <w:rPr>
          <w:rFonts w:ascii="Times New Roman" w:hAnsi="Times New Roman" w:cs="Times New Roman"/>
          <w:szCs w:val="26"/>
        </w:rPr>
        <w:t>kavuşturulmuştur.</w:t>
      </w:r>
    </w:p>
    <w:p w:rsidR="001E7DA9" w:rsidRDefault="001E7DA9" w:rsidP="001E7DA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E7DA9">
        <w:rPr>
          <w:rFonts w:ascii="Times New Roman" w:hAnsi="Times New Roman" w:cs="Times New Roman"/>
          <w:szCs w:val="26"/>
        </w:rPr>
        <w:t>Bir uyuşmazlığı Mahkeme Önüne götürme, Mahkemece verilen kararın uygulanmasını isteme, yargılamanın sonuç doğurmasını sağlayan hak arama hürriyetinin olmazsa olmaz koşuludur. Hak arama özgürlüğünün bir gereği olan Mahkemeye erişim hakkı, yargılama sonunda verilen kararın etkili bir şekilde aynen ve gecikmeksizin uygulanmasını da gerektirmektedir.</w:t>
      </w:r>
    </w:p>
    <w:p w:rsidR="001E7DA9" w:rsidRDefault="001E7DA9" w:rsidP="001E7DA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E7DA9">
        <w:rPr>
          <w:rFonts w:ascii="Times New Roman" w:hAnsi="Times New Roman" w:cs="Times New Roman"/>
          <w:szCs w:val="26"/>
        </w:rPr>
        <w:t>Kişilerin, Devlete güven duymaları, maddi ve manevi varlıklarım geliştirebilmeleri, temel hak ve özgürlüklerden yararlanabilmeleri ancak hukuk güvenliği ve üstünlüğünün sağlandığı bir hukuk düzeninde gerçekleşebilir. Hukuk güvenliğinin ve hukukun üstünlüğünün sağlanması için Devletin işlem ve eylemlerine karşı yargı yolunun açık tutulması yeterli olmayıp yargı mercileri tarafından verilen kararların gecikmeksizin uygulanması da gerekir. Mahkeme kararlarının bağlayıcılığını ve gecikmeksizin uygulanmasını sağlayacak etkili tedbirlerin alınması hukuk devletinin asgari gereklerindendir.</w:t>
      </w:r>
    </w:p>
    <w:p w:rsidR="001E7DA9" w:rsidRDefault="001E7DA9" w:rsidP="001E7DA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E7DA9">
        <w:rPr>
          <w:rFonts w:ascii="Times New Roman" w:hAnsi="Times New Roman" w:cs="Times New Roman"/>
          <w:szCs w:val="26"/>
        </w:rPr>
        <w:t>Bu nedenle, davaya taraf olan kişinin Anayasal güvencelerinin etkin olarak korunması ve hukuka uygunluğunun sağlanması için, idarenin kendisi hakkında karar verebileceği konuyu yargı mercileri önüne uyuşmazlık şeklinde getirebilmesiyle olanaklıdır.</w:t>
      </w:r>
    </w:p>
    <w:p w:rsidR="001E7DA9" w:rsidRDefault="001E7DA9" w:rsidP="001E7DA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E7DA9">
        <w:rPr>
          <w:rFonts w:ascii="Times New Roman" w:hAnsi="Times New Roman" w:cs="Times New Roman"/>
          <w:szCs w:val="26"/>
        </w:rPr>
        <w:t>İLGİLİ ANAYASA MADDELERİ</w:t>
      </w:r>
    </w:p>
    <w:p w:rsidR="001E7DA9" w:rsidRDefault="001E7DA9" w:rsidP="001E7DA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E7DA9">
        <w:rPr>
          <w:rFonts w:ascii="Times New Roman" w:hAnsi="Times New Roman" w:cs="Times New Roman"/>
          <w:szCs w:val="26"/>
        </w:rPr>
        <w:t>1- CUMHURİYETİN TEMEL NİTELİKLERİ Başlıklı</w:t>
      </w:r>
    </w:p>
    <w:p w:rsidR="001E7DA9" w:rsidRDefault="001E7DA9" w:rsidP="001E7DA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lastRenderedPageBreak/>
        <w:t xml:space="preserve"> </w:t>
      </w:r>
      <w:r w:rsidRPr="001E7DA9">
        <w:rPr>
          <w:rFonts w:ascii="Times New Roman" w:hAnsi="Times New Roman" w:cs="Times New Roman"/>
          <w:szCs w:val="26"/>
        </w:rPr>
        <w:t>ANAYASANIN 2. MADDESİ; Anayasanın 2. maddesinde “Türkiye Cumhuriyeti” toplumun huzuru Milli Dayanışma ve adalet anlayışı içinde insan haklarına saygılı Atatürk Milliyetçiliğine bağlı, başlangıçta belirtilen temel ilkelere dayanan demokratik, laik ve sosyal bir hukuk devletidir” hükmüne yer verilmiştir.</w:t>
      </w:r>
    </w:p>
    <w:p w:rsidR="001E7DA9" w:rsidRDefault="001E7DA9" w:rsidP="001E7DA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E7DA9">
        <w:rPr>
          <w:rFonts w:ascii="Times New Roman" w:hAnsi="Times New Roman" w:cs="Times New Roman"/>
          <w:szCs w:val="26"/>
        </w:rPr>
        <w:t>Anayasa'nın 2. maddesinde tanımlandığı üzere Devletimiz bir hukuk devletidir. Hukuk devleti ilkesinin öğeleri arasında yasaların kamu yararına dayanması ilkesi vardır. Bu ilkenin anlamı kamu yaran düşüncesi olmaksızın başka bir deyimle yalnızca özel çıkar veya yalnızca belli kişilerin yararına olarak herhangi bir yasa kuralının konulamıyacağıdır. Buna göre çıkarılması için kamu yaran bulunmayan bir yasa kuralı Anayasa'nın 2. maddesine aykırı olur ve dava açıldığında iptali gerekir. (Any.Mah. 22.6.1972, Es.1972/14, K. 1972/34; R.G.11.1.1973).</w:t>
      </w:r>
    </w:p>
    <w:p w:rsidR="001E7DA9" w:rsidRDefault="001E7DA9" w:rsidP="001E7DA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E7DA9">
        <w:rPr>
          <w:rFonts w:ascii="Times New Roman" w:hAnsi="Times New Roman" w:cs="Times New Roman"/>
          <w:szCs w:val="26"/>
        </w:rPr>
        <w:t>Hukuk devletinin temel unsuru bütün Devlet faaliyetlerinin hukuk kurallarına uygun olmasıdır. Hukuk devleti, insan haklarına saygı gösteren ve bu hakları koruyucu, adil bir hukuk düzeni kuran ve bunu devam ettirmeye kendini zorunlu sayan ve bütün faaliyetlerinde hukuka ve Anayasa'ya uyan bir devlet olmak gerekir. Hukuk devletinde kanun koyucu da dahil olmak üzere devletin bütün organları üstünde hukukun mutlak bir hakimiyeti olması, kanun koyucunun yasama faaliyetlerinde kendisini her zaman Anayasa ve hukukun üstün kuralları ile bağlı tutması lazımdır. Zira kanunun da üstünde Kanun Koyucunun bozamıyacağı temel hukuk prensipleri ve Anayasa vardır. (Any.Mah. 11.10.1963, Es.1963/124. Ka.1963/243, AMKD.sy.l,sh.429; aynı yönde: Any.Mah.3.7.1986, Es.1963/3, Ka. 1986/15, R.G.10.12.1986-Sayı:19307).</w:t>
      </w:r>
    </w:p>
    <w:p w:rsidR="001E7DA9" w:rsidRDefault="001E7DA9" w:rsidP="001E7DA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E7DA9">
        <w:rPr>
          <w:rFonts w:ascii="Times New Roman" w:hAnsi="Times New Roman" w:cs="Times New Roman"/>
          <w:szCs w:val="26"/>
        </w:rPr>
        <w:t xml:space="preserve">Hukuk devleti, kişiye tüm hak ve özgürlükleri tanıyıp bunlara saygı gösteren ve bu hakları koruyucu adil bir hukuk düzeni kuran, bunları devam ettirmeye kendini zorunlu sayan ve bütün faaliyetlerinde hukuka ve Anayasa’ya uyan, başka bir deyimle devlet organlarının tüm işlemlerinin bağımsız yargı denetiminden geçirilmesini ve böylece hukuka ve Anayasa'ya uygun olmalarını sağlayan  devlet dermektir. (Any.Mah. 13.1.1977, Es. 1976/45, Ka. 1977/1; </w:t>
      </w:r>
      <w:r w:rsidRPr="001E7DA9">
        <w:rPr>
          <w:rFonts w:ascii="Times New Roman" w:hAnsi="Times New Roman" w:cs="Times New Roman"/>
          <w:szCs w:val="26"/>
          <w:lang w:val="en-US"/>
        </w:rPr>
        <w:t xml:space="preserve">AMKD.sy.15.sy.44; </w:t>
      </w:r>
      <w:r w:rsidRPr="001E7DA9">
        <w:rPr>
          <w:rFonts w:ascii="Times New Roman" w:hAnsi="Times New Roman" w:cs="Times New Roman"/>
          <w:szCs w:val="26"/>
        </w:rPr>
        <w:t>R;G.28.3.1978-Sayı:  16242)</w:t>
      </w:r>
    </w:p>
    <w:p w:rsidR="001E7DA9" w:rsidRDefault="001E7DA9" w:rsidP="001E7DA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E7DA9">
        <w:rPr>
          <w:rFonts w:ascii="Times New Roman" w:hAnsi="Times New Roman" w:cs="Times New Roman"/>
          <w:szCs w:val="26"/>
        </w:rPr>
        <w:t>Anayasa Mahkemesinin kimi kararlarında da açıklandığı üzere, hukuk devleti demek, insan haklarına saygılı ve bu hakları koruyan toplum yaşamında adalete ve eşitliğe uygun bir hukuk düzeni kuran ve bu düzeni sürdürmekle kendini yükümlü sayan, bütün davranışlarında hukuk kurallarına ve Anayasaya uyan işlem ve eylemleri yargı denetimine bağlı olan devlet demektir. Aslında yargı denetimi, hukuk devleti ilkesinin öteki öğelerinin de güvencesini oluşturan temel öğedir. Çünkü insan haklarına saygılı olmayan ve davranışlarında hukuka ve Anayasa'ya uymayan bir yönetimi, bu tutumundan caydıran ve onu meşruluk ve hukukilik sının içinde kalmak zorunda bırakan güç, yargı denetimi gücü ve yetkisidir. (Any. Mah. 27.1.1977, Es. 1976/43,Ka. 1977/14, AMKD.sy. l5,sh.ll7; R.G.21.4.1977-Sayı: 15916).</w:t>
      </w:r>
    </w:p>
    <w:p w:rsidR="001E7DA9" w:rsidRDefault="001E7DA9" w:rsidP="001E7DA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E7DA9">
        <w:rPr>
          <w:rFonts w:ascii="Times New Roman" w:hAnsi="Times New Roman" w:cs="Times New Roman"/>
          <w:szCs w:val="26"/>
        </w:rPr>
        <w:t>Yasaların üstünde yasa koyucunun uymak zorunda bulunduğu Anayasa ve temel hukuk ilkeleri vardır. Anayasa'da öngörülen devletin amacı ve varlığıyla bağdaşmayan, hukukun ana ilkelerine dayanmayan yasalar kamu vicdanında olumsuz tepkiler yaratır...</w:t>
      </w:r>
    </w:p>
    <w:p w:rsidR="001E7DA9" w:rsidRDefault="001E7DA9" w:rsidP="001E7DA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E7DA9">
        <w:rPr>
          <w:rFonts w:ascii="Times New Roman" w:hAnsi="Times New Roman" w:cs="Times New Roman"/>
          <w:szCs w:val="26"/>
        </w:rPr>
        <w:t>Hukuk devletinin amaç edindiği kişinin korunması, toplumda sosyal güvenliğin ve sosyal adaletin sağlanması yoluyla gerçekleştirilebilir. (Any.Mah. 20.10.1988, Es. 1988/19, Ka. 1988/33; R.G. 11.12.1988, Sayı-20016) tespit ve yorumları bulunmaktadır.</w:t>
      </w:r>
    </w:p>
    <w:p w:rsidR="001E7DA9" w:rsidRDefault="001E7DA9" w:rsidP="001E7DA9">
      <w:pPr>
        <w:widowControl/>
        <w:tabs>
          <w:tab w:val="left" w:pos="1134"/>
        </w:tabs>
        <w:spacing w:before="240" w:after="100" w:afterAutospacing="1"/>
        <w:ind w:firstLine="709"/>
        <w:jc w:val="both"/>
        <w:rPr>
          <w:rFonts w:ascii="Times New Roman" w:hAnsi="Times New Roman" w:cs="Times New Roman"/>
          <w:szCs w:val="26"/>
        </w:rPr>
      </w:pPr>
      <w:r>
        <w:rPr>
          <w:rStyle w:val="Gvdemetni"/>
          <w:rFonts w:eastAsia="Courier New"/>
          <w:sz w:val="24"/>
          <w:szCs w:val="26"/>
        </w:rPr>
        <w:t xml:space="preserve"> </w:t>
      </w:r>
      <w:r w:rsidRPr="001E7DA9">
        <w:rPr>
          <w:rStyle w:val="Gvdemetni"/>
          <w:rFonts w:eastAsia="Courier New"/>
          <w:sz w:val="24"/>
          <w:szCs w:val="26"/>
        </w:rPr>
        <w:t>Anayasa 2. madde içeriğindeki Hukuk Devlet kavramı açısından bilimsel görüş;</w:t>
      </w:r>
    </w:p>
    <w:p w:rsidR="001E7DA9" w:rsidRDefault="001E7DA9" w:rsidP="001E7DA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lastRenderedPageBreak/>
        <w:t xml:space="preserve"> </w:t>
      </w:r>
      <w:r w:rsidRPr="001E7DA9">
        <w:rPr>
          <w:rFonts w:ascii="Times New Roman" w:hAnsi="Times New Roman" w:cs="Times New Roman"/>
          <w:szCs w:val="26"/>
        </w:rPr>
        <w:t>Yürütme işlemlerinin yargısal denetimi, hukuk devletinin temel ilkelerinden biri olmakla birlikte, tek başına hukukun üstünlüğünü ve vatandaşların hukuki güvenliğini sağlamaya yeterli değildir. Çünkü bu denetim, nihayet yürütme işlemlerinin “kanunlara” uygunluğunu sağlayabilecektir. Oysa kanunların kendisi Anayasaya aykırı olduğu takdirde, vatandaşların Anayasal haklarının çiğnenmesi yine önlenemeyecektir. Şu halde hukuk devletinin tam anlamıyla gerçekleşebilmiş sayılabilmesi için, sadece yürütme organının işlemlerinin kanunlara uygunluğunun değil, yasama işlemlerinin de Anayasa uygunluğunun yargı organlarınca denetlenebilmesi gerekir...</w:t>
      </w:r>
    </w:p>
    <w:p w:rsidR="001E7DA9" w:rsidRDefault="001E7DA9" w:rsidP="001E7DA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E7DA9">
        <w:rPr>
          <w:rFonts w:ascii="Times New Roman" w:hAnsi="Times New Roman" w:cs="Times New Roman"/>
          <w:szCs w:val="26"/>
        </w:rPr>
        <w:t>Hukuk devleti denilince, ilk olarak yürütmenin hukuka bağlılığı ve yürütme işlemlerinin yargı denetimi altında bulunması akla gelmektedir. Hukuk devleti bakımından önemli olan nokta, yürütmenin eylem ve işlemlerinin bağımsız yargı organlarınca denetlenip denetlenememesidir. Bu denetim sağlandıktan sonra, denetimi yapan Mahkemenin genel Mahkeme veya İdare Mahkemesi oluşu, hukuk devleti açısından önem taşımaz. Nitekim hukuk devleti, adli idareyi benimseyen Anglo-Sakson ülkelerinde olduğu kadar, idari yargıyı benimseyen Kara Avrupası ülkelerinde de mevcuttur. (Özbudun, sh.96 ve) şeklindedir.</w:t>
      </w:r>
    </w:p>
    <w:p w:rsidR="001E7DA9" w:rsidRDefault="001E7DA9" w:rsidP="001E7DA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E7DA9">
        <w:rPr>
          <w:rFonts w:ascii="Times New Roman" w:hAnsi="Times New Roman" w:cs="Times New Roman"/>
          <w:szCs w:val="26"/>
        </w:rPr>
        <w:t>2- DEVLETİN TEMEL AMAÇ VE GÖREVLERİ Başlıklı</w:t>
      </w:r>
    </w:p>
    <w:p w:rsidR="001E7DA9" w:rsidRDefault="001E7DA9" w:rsidP="001E7DA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E7DA9">
        <w:rPr>
          <w:rFonts w:ascii="Times New Roman" w:hAnsi="Times New Roman" w:cs="Times New Roman"/>
          <w:szCs w:val="26"/>
        </w:rPr>
        <w:t>5. MADDESİ; Anayasanın 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 hükmünü içermektedir.</w:t>
      </w:r>
    </w:p>
    <w:p w:rsidR="001E7DA9" w:rsidRDefault="001E7DA9" w:rsidP="001E7DA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E7DA9">
        <w:rPr>
          <w:rFonts w:ascii="Times New Roman" w:hAnsi="Times New Roman" w:cs="Times New Roman"/>
          <w:szCs w:val="26"/>
        </w:rPr>
        <w:t>Anayasanın 5. maddesinin gerekçesinde: ...Devletin... milletin huzurunu sağlamak ve fertlerini mutlu kılmak görevi ile de yükümlüdür. Devlet, ferdin hayat mücadelesini kolaylaştıracaktır. Ferdin insan haysiyetine uygun bir ortam içinde yaşamasını gerçekleştirecektir. Bu sosyal devletin görevidir... olarak belirtilmektedir.</w:t>
      </w:r>
    </w:p>
    <w:p w:rsidR="001E7DA9" w:rsidRDefault="001E7DA9" w:rsidP="001E7DA9">
      <w:pPr>
        <w:widowControl/>
        <w:tabs>
          <w:tab w:val="left" w:pos="1134"/>
        </w:tabs>
        <w:spacing w:before="240" w:after="100" w:afterAutospacing="1"/>
        <w:ind w:firstLine="709"/>
        <w:jc w:val="both"/>
        <w:rPr>
          <w:rFonts w:ascii="Times New Roman" w:hAnsi="Times New Roman" w:cs="Times New Roman"/>
          <w:szCs w:val="26"/>
        </w:rPr>
      </w:pPr>
      <w:r>
        <w:rPr>
          <w:rStyle w:val="Gvdemetni"/>
          <w:rFonts w:eastAsia="Courier New"/>
          <w:sz w:val="24"/>
          <w:szCs w:val="26"/>
        </w:rPr>
        <w:t xml:space="preserve"> </w:t>
      </w:r>
      <w:r w:rsidRPr="001E7DA9">
        <w:rPr>
          <w:rStyle w:val="Gvdemetni"/>
          <w:rFonts w:eastAsia="Courier New"/>
          <w:sz w:val="24"/>
          <w:szCs w:val="26"/>
        </w:rPr>
        <w:t>Anayasa 5. madde içeriğindeki kavramlar açısından bilimsel görüş;</w:t>
      </w:r>
      <w:r w:rsidRPr="001E7DA9">
        <w:rPr>
          <w:rFonts w:ascii="Times New Roman" w:hAnsi="Times New Roman" w:cs="Times New Roman"/>
          <w:szCs w:val="26"/>
        </w:rPr>
        <w:t xml:space="preserve"> 1982 Anayasa’sı, 5. madde ile, devletin amaç ve görevlerini açık ve anlaşılır bir şekilde ortaya koymuştur. Bu maddede devletin görevleri üç grupta toplanmıştır.</w:t>
      </w:r>
    </w:p>
    <w:p w:rsidR="001E7DA9" w:rsidRDefault="001E7DA9" w:rsidP="001E7DA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E7DA9">
        <w:rPr>
          <w:rFonts w:ascii="Times New Roman" w:hAnsi="Times New Roman" w:cs="Times New Roman"/>
          <w:szCs w:val="26"/>
        </w:rPr>
        <w:t>1- Türk</w:t>
      </w:r>
      <w:r>
        <w:rPr>
          <w:rFonts w:ascii="Times New Roman" w:hAnsi="Times New Roman" w:cs="Times New Roman"/>
          <w:szCs w:val="26"/>
        </w:rPr>
        <w:t xml:space="preserve"> </w:t>
      </w:r>
      <w:r w:rsidRPr="001E7DA9">
        <w:rPr>
          <w:rFonts w:ascii="Times New Roman" w:hAnsi="Times New Roman" w:cs="Times New Roman"/>
          <w:szCs w:val="26"/>
        </w:rPr>
        <w:t>milletinin bağımsızlığını ye bütünlüğünü, ülkenin bölünmezliğini, cumhuriyeti ve demokrasiyi korumak,</w:t>
      </w:r>
      <w:r>
        <w:rPr>
          <w:rFonts w:ascii="Times New Roman" w:hAnsi="Times New Roman" w:cs="Times New Roman"/>
          <w:szCs w:val="26"/>
        </w:rPr>
        <w:t xml:space="preserve"> </w:t>
      </w:r>
    </w:p>
    <w:p w:rsidR="001E7DA9" w:rsidRDefault="001E7DA9" w:rsidP="001E7DA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E7DA9">
        <w:rPr>
          <w:rFonts w:ascii="Times New Roman" w:hAnsi="Times New Roman" w:cs="Times New Roman"/>
          <w:szCs w:val="26"/>
        </w:rPr>
        <w:t>2- Kişilerin</w:t>
      </w:r>
      <w:r>
        <w:rPr>
          <w:rFonts w:ascii="Times New Roman" w:hAnsi="Times New Roman" w:cs="Times New Roman"/>
          <w:szCs w:val="26"/>
        </w:rPr>
        <w:t xml:space="preserve"> </w:t>
      </w:r>
      <w:r w:rsidRPr="001E7DA9">
        <w:rPr>
          <w:rFonts w:ascii="Times New Roman" w:hAnsi="Times New Roman" w:cs="Times New Roman"/>
          <w:szCs w:val="26"/>
        </w:rPr>
        <w:t>ve toplumun refah, huzur ve mutluluğunu sağlamak,</w:t>
      </w:r>
    </w:p>
    <w:p w:rsidR="001E7DA9" w:rsidRDefault="001E7DA9" w:rsidP="001E7DA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E7DA9">
        <w:rPr>
          <w:rFonts w:ascii="Times New Roman" w:hAnsi="Times New Roman" w:cs="Times New Roman"/>
          <w:szCs w:val="26"/>
        </w:rPr>
        <w:t>3- Kişi hak ve hürriyetleri için sosyal hukuk devleti ve adalet ilkeleri ile bağdaşmayacak surette sınırlayan siyasi, sosyal ve ekonomik engelleri kaldırmak, insanın maddi ve manevi varlığının gelişmesi için gerekli şartlan hazırlamaya çalışmak. (Dal,sh. 141) şeklindedir.</w:t>
      </w:r>
    </w:p>
    <w:p w:rsidR="001E7DA9" w:rsidRDefault="001E7DA9" w:rsidP="001E7DA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E7DA9">
        <w:rPr>
          <w:rFonts w:ascii="Times New Roman" w:hAnsi="Times New Roman" w:cs="Times New Roman"/>
          <w:szCs w:val="26"/>
        </w:rPr>
        <w:t>3- YARGI YETKİSİ Başlıklı</w:t>
      </w:r>
    </w:p>
    <w:p w:rsidR="001E7DA9" w:rsidRDefault="001E7DA9" w:rsidP="001E7DA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E7DA9">
        <w:rPr>
          <w:rFonts w:ascii="Times New Roman" w:hAnsi="Times New Roman" w:cs="Times New Roman"/>
          <w:szCs w:val="26"/>
        </w:rPr>
        <w:t>9. MADDESİ; Yargı yetkisi, Türk Milleti adına bağımsız Mahkemelerce kullanılır.</w:t>
      </w:r>
    </w:p>
    <w:p w:rsidR="001E7DA9" w:rsidRDefault="001E7DA9" w:rsidP="001E7DA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E7DA9">
        <w:rPr>
          <w:rFonts w:ascii="Times New Roman" w:hAnsi="Times New Roman" w:cs="Times New Roman"/>
          <w:szCs w:val="26"/>
        </w:rPr>
        <w:t>Gerekçe: Yargı yetkisi, fert, hak ve hürriyetleri sorununun ortaya çıktığı günden beri kabul edildiği üzere bağımsız organlar tarafından bağımsız Mahkemelerce yerine getirilecektir.</w:t>
      </w:r>
    </w:p>
    <w:p w:rsidR="001E7DA9" w:rsidRDefault="001E7DA9" w:rsidP="001E7DA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lastRenderedPageBreak/>
        <w:t xml:space="preserve"> </w:t>
      </w:r>
      <w:r w:rsidRPr="001E7DA9">
        <w:rPr>
          <w:rFonts w:ascii="Times New Roman" w:hAnsi="Times New Roman" w:cs="Times New Roman"/>
          <w:szCs w:val="26"/>
        </w:rPr>
        <w:t>Anayasa'nın 2. Maddesinde yer alan hukuk devleti ilkesi, insan haklarına saygılı ve bu haklan koruyucu adil bir hukuk düzeni kuran ve bunu devam ettirmekle kendini yükümlü sayan, bütün davranışlarında hukuk kurallarına ve Anayasa’ya uygun işlem ve eylemleri yargı denetimine bağlı olan devlet demektir. Aslında yargı denetimi unsuru, hukuk devleti ilkesinin diğer öğelerinin güvencesini oluşturan temel öğedir. Çünkü, insan haklarına saygılı olmayan ve davranışlarında hukuka ve Anayasa’ya uymayan bir yönetimi bu tutumundan caydıran ve onu meşruluk ve hukukilik sının içinde kalmak zorunda bırakan güç, yargı denetimi gücü ve yetkisidir. (Any. Mah 2.5.1976, Es. 1976/1, Ka. 1976/8; E.G. 16.8.1976)</w:t>
      </w:r>
    </w:p>
    <w:p w:rsidR="001E7DA9" w:rsidRDefault="001E7DA9" w:rsidP="001E7DA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E7DA9">
        <w:rPr>
          <w:rFonts w:ascii="Times New Roman" w:hAnsi="Times New Roman" w:cs="Times New Roman"/>
          <w:szCs w:val="26"/>
        </w:rPr>
        <w:t>4- MÜLKİYET HAKKI Başlıklı</w:t>
      </w:r>
    </w:p>
    <w:p w:rsidR="001E7DA9" w:rsidRDefault="001E7DA9" w:rsidP="001E7DA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E7DA9">
        <w:rPr>
          <w:rFonts w:ascii="Times New Roman" w:hAnsi="Times New Roman" w:cs="Times New Roman"/>
          <w:szCs w:val="26"/>
        </w:rPr>
        <w:t>35. MADDESİNDE; Herkes, mülkiyet ve miras hakkına sahiptir. Bu haklar, ancak kamu yaran amacıyla, kanunla sınırlanabilir. Mülkiyet hakkının kullanılması toplum yararına aykırı olamaz.</w:t>
      </w:r>
    </w:p>
    <w:p w:rsidR="001E7DA9" w:rsidRDefault="001E7DA9" w:rsidP="001E7DA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E7DA9">
        <w:rPr>
          <w:rFonts w:ascii="Times New Roman" w:hAnsi="Times New Roman" w:cs="Times New Roman"/>
          <w:szCs w:val="26"/>
        </w:rPr>
        <w:t>Gerekçe: Madde, birbirine yakın ve birbiriyle ilgili iki temel hakkı, mülkiyet ve miras haklarını birlikte düzenlemiştir. Bu birlikte düzenleme 18 inci yüzyıldan beri geleneğin sonucudur.</w:t>
      </w:r>
    </w:p>
    <w:p w:rsidR="001E7DA9" w:rsidRDefault="001E7DA9" w:rsidP="001E7DA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E7DA9">
        <w:rPr>
          <w:rFonts w:ascii="Times New Roman" w:hAnsi="Times New Roman" w:cs="Times New Roman"/>
          <w:szCs w:val="26"/>
        </w:rPr>
        <w:t>Anayasa hem mülkiyet hakkını hem miras hakkını Anayasal bir müessese olarak teminat altına almaktadır.</w:t>
      </w:r>
    </w:p>
    <w:p w:rsidR="001E7DA9" w:rsidRDefault="001E7DA9" w:rsidP="001E7DA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E7DA9">
        <w:rPr>
          <w:rFonts w:ascii="Times New Roman" w:hAnsi="Times New Roman" w:cs="Times New Roman"/>
          <w:szCs w:val="26"/>
        </w:rPr>
        <w:t>Maddede mülkiyet ve miras haklarının, diğer temel haklan gibi ve onlar derecesinde düzenlenmiş ve Anayasa güvencesine bağlamıştır.</w:t>
      </w:r>
    </w:p>
    <w:p w:rsidR="001E7DA9" w:rsidRDefault="001E7DA9" w:rsidP="001E7DA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E7DA9">
        <w:rPr>
          <w:rFonts w:ascii="Times New Roman" w:hAnsi="Times New Roman" w:cs="Times New Roman"/>
          <w:szCs w:val="26"/>
        </w:rPr>
        <w:t>Madde bundan sonra mülkiyet ve miras haklarının kamu yararı amacı ile sınırlandırabileceğine işaret etmiş; daha sonra mülkiyet hakkının kullanılmasının toplum yararına aykırı olamayacağını hükme bağlamıştır.</w:t>
      </w:r>
    </w:p>
    <w:p w:rsidR="001E7DA9" w:rsidRDefault="001E7DA9" w:rsidP="001E7DA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E7DA9">
        <w:rPr>
          <w:rFonts w:ascii="Times New Roman" w:hAnsi="Times New Roman" w:cs="Times New Roman"/>
          <w:szCs w:val="26"/>
        </w:rPr>
        <w:t>Mülkiyet hakkı Devletten önce de var olan bir gerçek olması itibariyle (Maunz-Durig-Herzog-Scholz, Gmudgesetz, Kommentar, Art. 14, N.5) ekonomik ve sosyal haklar arasında değil de, kişinin temel hakları arasında düzenlenmesi düşünebilirse de, Komisyon şimdiki düzenlemenin yerinde olduğu sonucuna varmıştır.</w:t>
      </w:r>
    </w:p>
    <w:p w:rsidR="001E7DA9" w:rsidRDefault="001E7DA9" w:rsidP="001E7DA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E7DA9">
        <w:rPr>
          <w:rFonts w:ascii="Times New Roman" w:hAnsi="Times New Roman" w:cs="Times New Roman"/>
          <w:szCs w:val="26"/>
        </w:rPr>
        <w:t>Mülkiyetin Anayasa güvencesi altına alınması, yine Anayasanın komünizmi, faşizmi ve din temeline dayanan Devlet kurmayı yasaklayan hükümleriyle birlikte karşılaştırılınca, mülkiyetin bu şekilde himayesinin bir ölçüde ekonomik sistem tercihi bakımından da bir gösterge teşkil etmektedir. Kısaca, özel mülkiyetin özellikle üretim araçları üzerindeki özel mülkiyetin yok edilmesi, inkar edilmesi de önlenmiştir. Kamu yararına bulunduğu hallerde büyümenin gerçekleşmesi suretiyle toplumunun refahını arttıracağı genellikle kabul edilmektedir. (Maunz-Durig-Herzog-Scholz,. Art. 14. No.7)</w:t>
      </w:r>
    </w:p>
    <w:p w:rsidR="001E7DA9" w:rsidRDefault="001E7DA9" w:rsidP="001E7DA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E7DA9">
        <w:rPr>
          <w:rFonts w:ascii="Times New Roman" w:hAnsi="Times New Roman" w:cs="Times New Roman"/>
          <w:szCs w:val="26"/>
        </w:rPr>
        <w:t>Mülkiyeti Anayasa teminatı altına alan bu madde doğrudan devlete hitabetmektedir. Mülkiyetin şahıslara karşı korunması Medeni Kanun ve 5917 sayılı Gayri Menkule Tecavüzün Meni Hakkında Kanun gibi mevzuatla sağlanmaktadır. Mülkiyetin münferit himayesini fert Mahkemelerden ve idareden talep etmektedir. Mülkiyetin müessese olarak güvence altına alınması ise kanun koyucu, başka açıdan Devlet, Anayasaya uygunluk denetimini yapacak olan Anayasa yargısı, tarafından sağlanacaktır. (MangoIdt-Klein I, S. 422)</w:t>
      </w:r>
    </w:p>
    <w:p w:rsidR="001E7DA9" w:rsidRDefault="001E7DA9" w:rsidP="001E7DA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lastRenderedPageBreak/>
        <w:t xml:space="preserve"> </w:t>
      </w:r>
      <w:r w:rsidRPr="001E7DA9">
        <w:rPr>
          <w:rFonts w:ascii="Times New Roman" w:hAnsi="Times New Roman" w:cs="Times New Roman"/>
          <w:szCs w:val="26"/>
        </w:rPr>
        <w:t>Mülkiyetin Anayasa teminatı altına alınması kimlerin yararlanacağı ise bir problem doğurmaz. Malik sıfatım taşıyan gerçek ve tüzelkişiler, bu Anayasal güvenceden yararlanırlar ve onu dermeyan edebilirler.</w:t>
      </w:r>
    </w:p>
    <w:p w:rsidR="001E7DA9" w:rsidRDefault="001E7DA9" w:rsidP="001E7DA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E7DA9">
        <w:rPr>
          <w:rFonts w:ascii="Times New Roman" w:hAnsi="Times New Roman" w:cs="Times New Roman"/>
          <w:szCs w:val="26"/>
        </w:rPr>
        <w:t>Gerçek kişilerin fiil ehliyetlerinin farklı olması sebebiyle bu temel hakkın sahipliği bakımından bir ayırım yapılamaz. Başka deyişle mülkiyete sahip olmak bakımından hiçbir ehliyet ayrımı gözetilemez.</w:t>
      </w:r>
    </w:p>
    <w:p w:rsidR="001E7DA9" w:rsidRDefault="001E7DA9" w:rsidP="001E7DA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E7DA9">
        <w:rPr>
          <w:rFonts w:ascii="Times New Roman" w:hAnsi="Times New Roman" w:cs="Times New Roman"/>
          <w:szCs w:val="26"/>
        </w:rPr>
        <w:t>Kişinin, şahsiyetini geliştirebilmesinde mülkiyetin, Anayasaca güvence altına alınmasının azımsanmayacak rolü vardır. Çünkü klasikleşmiş bir kabule göre, insan şahsiyetinin bir parçası “ekonomik şahsiyet” olarak adlandırılmaktadır. Anayasanın “ Herkes yaşama, maddi ve manevi varlığını koruma ve geliştirme hakkına sahiptir” diyen 16 ncı maddesinin 1 inci fıkrası ile mülkiyet güvencesi getiren 43 üncü madde arasında bu açıdan irtibat vardır. Başka deyişle, mülkiyet hakkım Anayasa teminatı altında tutan 43 üncü madde, 16 ncı maddenin 1 inci fıkrasına nazaran özel hüküm niteliğindedir.</w:t>
      </w:r>
    </w:p>
    <w:p w:rsidR="001E7DA9" w:rsidRDefault="001E7DA9" w:rsidP="001E7DA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E7DA9">
        <w:rPr>
          <w:rFonts w:ascii="Times New Roman" w:hAnsi="Times New Roman" w:cs="Times New Roman"/>
          <w:szCs w:val="26"/>
        </w:rPr>
        <w:t>Mülkiyetin korunması, hürriyeti de güvence altına alır. (Maunz-Durig-Herzog- Scholz,. Art. 14. No. 15/16)</w:t>
      </w:r>
    </w:p>
    <w:p w:rsidR="001E7DA9" w:rsidRDefault="001E7DA9" w:rsidP="001E7DA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E7DA9">
        <w:rPr>
          <w:rFonts w:ascii="Times New Roman" w:hAnsi="Times New Roman" w:cs="Times New Roman"/>
          <w:szCs w:val="26"/>
        </w:rPr>
        <w:t>Mülkiyetin, güvencesi ile ilgili 43 üncü madde, konut dokunulmazlığını güvence altına alan 21 inci madde birlikte uygulanır.</w:t>
      </w:r>
    </w:p>
    <w:p w:rsidR="001E7DA9" w:rsidRDefault="001E7DA9" w:rsidP="001E7DA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E7DA9">
        <w:rPr>
          <w:rFonts w:ascii="Times New Roman" w:hAnsi="Times New Roman" w:cs="Times New Roman"/>
          <w:szCs w:val="26"/>
        </w:rPr>
        <w:t>48 inci maddede düzenlenen devletleştirmenin mülkiyetin Anayasa güvencesi altına alınması ile çelişir bir yanı yoktur. Bu noktaya yukarıda temas edilmemiştir.</w:t>
      </w:r>
    </w:p>
    <w:p w:rsidR="001E7DA9" w:rsidRDefault="001E7DA9" w:rsidP="001E7DA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E7DA9">
        <w:rPr>
          <w:rFonts w:ascii="Times New Roman" w:hAnsi="Times New Roman" w:cs="Times New Roman"/>
          <w:szCs w:val="26"/>
        </w:rPr>
        <w:t>Mülkiyetin anayasal güvencesi ile 13 üncü maddedeki temel hakları kötüye kullananların o haklan kaybedecekleri hükmü arasında bir uyumsuzluk bulunmamaktadır. Türk Ceza Kanunundaki müsadere hükümleri ile Anayasanın 30 uncu maddesindeki müsadere hükümleri 13 üncü madde anlamında “o hakkın kaybedilmesi” değildir. Kanun koyucu 13 üncü maddedeki şartlarda mülkiyet hakkının kaybedilmesinin şartları ve karar verecek mercileri özel bir kanunla düzenleyebilir.</w:t>
      </w:r>
    </w:p>
    <w:p w:rsidR="001E7DA9" w:rsidRDefault="001E7DA9" w:rsidP="001E7DA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E7DA9">
        <w:rPr>
          <w:rFonts w:ascii="Times New Roman" w:hAnsi="Times New Roman" w:cs="Times New Roman"/>
          <w:szCs w:val="26"/>
        </w:rPr>
        <w:t>Mülkiyet Anayasal güvence altına alınması tek tek menkul ve taşınmaz mallan, para ile değerlendirebilen hakları ve mal varlığını toplu olarak ve tabii olarak üretim araçlarını içeren bir teminattır.</w:t>
      </w:r>
    </w:p>
    <w:p w:rsidR="001E7DA9" w:rsidRPr="001E7DA9" w:rsidRDefault="001E7DA9" w:rsidP="001E7DA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E7DA9">
        <w:rPr>
          <w:rFonts w:ascii="Times New Roman" w:hAnsi="Times New Roman" w:cs="Times New Roman"/>
          <w:szCs w:val="26"/>
        </w:rPr>
        <w:t>Bu teminat, hukuk devletinin gereğidir.</w:t>
      </w:r>
      <w:r>
        <w:rPr>
          <w:rFonts w:ascii="Times New Roman" w:hAnsi="Times New Roman" w:cs="Times New Roman"/>
          <w:szCs w:val="26"/>
        </w:rPr>
        <w:t xml:space="preserve"> </w:t>
      </w:r>
    </w:p>
    <w:p w:rsidR="001E7DA9" w:rsidRDefault="001E7DA9" w:rsidP="001E7DA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E7DA9">
        <w:rPr>
          <w:rFonts w:ascii="Times New Roman" w:hAnsi="Times New Roman" w:cs="Times New Roman"/>
          <w:szCs w:val="26"/>
        </w:rPr>
        <w:t xml:space="preserve">Bu teminat, mülkiyetin kamu yaran amacıyla sınırlanmasına engel değildir. Ağır vergilendirme, peşin olmayan ödemelerle kamulaştırma ve devletleştirmelerin, mülkiyet güvencesine aykırı düşer. </w:t>
      </w:r>
    </w:p>
    <w:p w:rsidR="001E7DA9" w:rsidRDefault="001E7DA9" w:rsidP="001E7DA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E7DA9">
        <w:rPr>
          <w:rFonts w:ascii="Times New Roman" w:hAnsi="Times New Roman" w:cs="Times New Roman"/>
          <w:szCs w:val="26"/>
        </w:rPr>
        <w:t>Miras hakkı, mülkiyet hakkının bir devamıdır, özel bir şekildir.  Bu nedenle mülkiyet ve miras aynı maddede ardarda  düzenlenerek Anayasal güvence altına alınmıştır.</w:t>
      </w:r>
    </w:p>
    <w:p w:rsidR="001E7DA9" w:rsidRDefault="001E7DA9" w:rsidP="001E7DA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E7DA9">
        <w:rPr>
          <w:rFonts w:ascii="Times New Roman" w:hAnsi="Times New Roman" w:cs="Times New Roman"/>
          <w:szCs w:val="26"/>
        </w:rPr>
        <w:t>Miras hakkının ağır vergilendirme yolu ile muhtevasız hale getirilmesi, mira  hakkının ortadan kaldırılması önlenmek  istenmiştir.</w:t>
      </w:r>
    </w:p>
    <w:p w:rsidR="001E7DA9" w:rsidRPr="001E7DA9" w:rsidRDefault="001E7DA9" w:rsidP="001E7DA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E7DA9">
        <w:rPr>
          <w:rFonts w:ascii="Times New Roman" w:hAnsi="Times New Roman" w:cs="Times New Roman"/>
          <w:szCs w:val="26"/>
        </w:rPr>
        <w:t xml:space="preserve">M.G.K. ANY. KOM. DEĞİŞİKLİK GEREKÇESİ: Danışma Meclisince kabul edilen 43 üncü maddenin birinci fıkrasında yer alan “Bu haklar, diğer temel haklar gibi Anayasanın </w:t>
      </w:r>
      <w:r w:rsidRPr="001E7DA9">
        <w:rPr>
          <w:rFonts w:ascii="Times New Roman" w:hAnsi="Times New Roman" w:cs="Times New Roman"/>
          <w:szCs w:val="26"/>
        </w:rPr>
        <w:lastRenderedPageBreak/>
        <w:t>güvencesi altındadır.” cümlesi maddeden çıkarılmış ve madde redaksiyona tabi tutulmuştur. Anılan hükmün maddeden çıkarılmasının nedeni, Anayasada sayılan tüm temel hak ve hürriyetler gibi mülkiyet ve miras hakkının da herhangi bir açıklamaya gerek olmaksızın Anayasanın güvencesi altında olmasıdır. Kaldı ki, diğer temel hak ve hürriyetler için ilgili maddelerinde bu kurala yer verilmemiştir.</w:t>
      </w:r>
      <w:r>
        <w:rPr>
          <w:rFonts w:ascii="Times New Roman" w:hAnsi="Times New Roman" w:cs="Times New Roman"/>
          <w:szCs w:val="26"/>
        </w:rPr>
        <w:t xml:space="preserve"> </w:t>
      </w:r>
    </w:p>
    <w:p w:rsidR="001E7DA9" w:rsidRDefault="001E7DA9" w:rsidP="001E7DA9">
      <w:pPr>
        <w:widowControl/>
        <w:tabs>
          <w:tab w:val="left" w:pos="1134"/>
        </w:tabs>
        <w:spacing w:before="240" w:after="100" w:afterAutospacing="1"/>
        <w:ind w:firstLine="709"/>
        <w:jc w:val="both"/>
        <w:rPr>
          <w:rFonts w:ascii="Times New Roman" w:hAnsi="Times New Roman" w:cs="Times New Roman"/>
          <w:szCs w:val="26"/>
        </w:rPr>
      </w:pPr>
      <w:r w:rsidRPr="001E7DA9">
        <w:rPr>
          <w:rFonts w:ascii="Times New Roman" w:hAnsi="Times New Roman" w:cs="Times New Roman"/>
          <w:szCs w:val="26"/>
        </w:rPr>
        <w:t>Mülkiyet ve miras haklarının önemi ve Türk toplumunun köklü gelenekleri göz önünde tutularak “bu haklar ancak kamu yaran amacıyla, kanunla sınırlanabilir” hükmü aynen korunmuştur. Metindeki bu “ancak” ibaresi sınırlayıcı nitelikte görülmemiş, temel hak ve hürriyetlerin sınırlanmasına ilişkin 13 üncü maddede belirtilen genel sınırlama sebeplerinin tümü anılan 13üncü maddenin son fıkrasında yer alan açık hükümlere göre, bu haklar bakımından da geçerli olduğundan, maddede yer alan bu hüküm, sınırlama sebepleri arasında öncelikle uygulanabilecek bir sebebi belirtir nitelikte kabul edilmiştir.</w:t>
      </w:r>
    </w:p>
    <w:p w:rsidR="001E7DA9" w:rsidRPr="001E7DA9" w:rsidRDefault="001E7DA9" w:rsidP="001E7DA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E7DA9">
        <w:rPr>
          <w:rFonts w:ascii="Times New Roman" w:hAnsi="Times New Roman" w:cs="Times New Roman"/>
          <w:szCs w:val="26"/>
        </w:rPr>
        <w:t xml:space="preserve">Anayasa Mahkemesinin değişik kararlarında çağımızda mülkiyet hakkı temel bir hak olmakla birlikte kullanılmasının toplum yararına aykırı olamayacağı belirtilmiştir. Toplum yaran ise, yerine göre mülkiyet hakkının tümüyle kişinin elinden alınmasını gerektirmektedir. Bu nedenle, Anayasa'da kamulaştırma ve devletleştirme kurumlan düzenlenmiştir. (Any.Mah.19.2.1985, Es.1984/15, ka.1985/5, R.G. 11.6.1985-Sayı:18781) </w:t>
      </w:r>
      <w:r>
        <w:rPr>
          <w:rFonts w:ascii="Times New Roman" w:hAnsi="Times New Roman" w:cs="Times New Roman"/>
          <w:szCs w:val="26"/>
        </w:rPr>
        <w:t xml:space="preserve"> </w:t>
      </w:r>
    </w:p>
    <w:p w:rsidR="001E7DA9" w:rsidRDefault="001E7DA9" w:rsidP="001E7DA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E7DA9">
        <w:rPr>
          <w:rFonts w:ascii="Times New Roman" w:hAnsi="Times New Roman" w:cs="Times New Roman"/>
          <w:szCs w:val="26"/>
        </w:rPr>
        <w:t>Anayasa, 1961 Anayasasından farklı olarak, mülkiyet hakkına, ekonomik haklar arasında değil, kişi haklan arasında yer vermiştir. Bu değişiklik, Anayasanın Milli Güvenlik Konseyinde yapılan görüşmesi sırasında oluşmuştur. Mülkiyet hakkı, devletten önce var olan, devlete karşı da korunması gereken, kişi haklan ağır basan haklardan sayılmıştır. (Gözübüyük, sy.156)</w:t>
      </w:r>
    </w:p>
    <w:p w:rsidR="001E7DA9" w:rsidRDefault="001E7DA9" w:rsidP="001E7DA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E7DA9">
        <w:rPr>
          <w:rFonts w:ascii="Times New Roman" w:hAnsi="Times New Roman" w:cs="Times New Roman"/>
          <w:szCs w:val="26"/>
        </w:rPr>
        <w:t>1961 Anayasası mülkiyet hakkım sosyal ve ekonomik haklar arasında düzenlemişti. Bu bir yerde mülkiyete değişik yorumlarla, mahiyetinden değişik yaklaşmalara neden olabiliyordu. 1982 Anayasası mülkiyet hakkını kişinin haklan bakımından değeri olan bir hak değil, ferdi niteliği ve tabii haklar arasında oluşu yeniden vurgulanmıştır... Anayasa mülkiyet hakkını özel mülkiyet olarak düşünmüştür. Bu mülkiyet anlayışı, teşebbüs serbestisini üretim vasıtaları  üzerindeki özel mülkiyeti de  ihtiva etmektedir. Bu nedenle  faşişt, komünist veya dini esaslara dayanan bir sistem tercihi Anayasa’nın diğer hükümleri ile olduğu kadar mülkiyet hakkındaki hükümleri ile de mümkün değildir.</w:t>
      </w:r>
    </w:p>
    <w:p w:rsidR="001E7DA9" w:rsidRDefault="001E7DA9" w:rsidP="001E7DA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E7DA9">
        <w:rPr>
          <w:rFonts w:ascii="Times New Roman" w:hAnsi="Times New Roman" w:cs="Times New Roman"/>
          <w:szCs w:val="26"/>
        </w:rPr>
        <w:t xml:space="preserve">5- HAK ARAMA HÜRRİYETİ  başlıklı </w:t>
      </w:r>
    </w:p>
    <w:p w:rsidR="001E7DA9" w:rsidRDefault="001E7DA9" w:rsidP="001E7DA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E7DA9">
        <w:rPr>
          <w:rFonts w:ascii="Times New Roman" w:hAnsi="Times New Roman" w:cs="Times New Roman"/>
          <w:szCs w:val="26"/>
        </w:rPr>
        <w:t>36. MADDESİNDE; “Herkes meşru vasıta ve yollardan faydalanmak suretiyle  yargı mercileri önünden davacı ve davalı olarak iddia ve savunma ile adil yargılanma hakkına sahiptir…”</w:t>
      </w:r>
    </w:p>
    <w:p w:rsidR="001E7DA9" w:rsidRDefault="001E7DA9" w:rsidP="001E7DA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E7DA9">
        <w:rPr>
          <w:rFonts w:ascii="Times New Roman" w:hAnsi="Times New Roman" w:cs="Times New Roman"/>
          <w:szCs w:val="26"/>
        </w:rPr>
        <w:t xml:space="preserve">ANAYASA MADDELERİ ÇERÇEVESİNDE DAVA KONUSUNUN VE UYGULAMASI BULUNAN YASA MADDESİNİN DEĞERLENDİRİLMESİ: Anayasanın 2.  maddesi yönünden </w:t>
      </w:r>
      <w:r w:rsidRPr="001E7DA9">
        <w:rPr>
          <w:rStyle w:val="GvdemetniExact"/>
          <w:rFonts w:eastAsia="Courier New"/>
          <w:sz w:val="24"/>
          <w:szCs w:val="26"/>
        </w:rPr>
        <w:t xml:space="preserve">Yasanın uygulanması açısından 2942 sayılı Kamulaştırma Yasasının 6745 sayılı Yasanın 34. maddesiyle 20/08/2016 günü kabul edilen maddesinin birinci fıkrası kapsamında kalan tasarrufu hukuken kısıtlanan taşınmazlar hakkında yürürlüğe girdiği tarihten itibaren başlar. Bu süre içerisinde belirtilen işlemlerin yapılmaması halinde taşınmazların malikleri tarafından, bu Kanunun geçici 6 ncı maddesindeki uzlaşma </w:t>
      </w:r>
      <w:r w:rsidRPr="001E7DA9">
        <w:rPr>
          <w:rFonts w:ascii="Times New Roman" w:hAnsi="Times New Roman" w:cs="Times New Roman"/>
          <w:szCs w:val="26"/>
        </w:rPr>
        <w:t xml:space="preserve">sürecini ve 3194 sayılı İmar Kanununda öngörülen idari başvuru ve işlemleri tamamlandıktan sonra taşınmazın kamulaştırmasından sorumlu idare aleyhine idari yargıda dava açılabilir.” yasal </w:t>
      </w:r>
      <w:r w:rsidRPr="001E7DA9">
        <w:rPr>
          <w:rFonts w:ascii="Times New Roman" w:hAnsi="Times New Roman" w:cs="Times New Roman"/>
          <w:szCs w:val="26"/>
        </w:rPr>
        <w:lastRenderedPageBreak/>
        <w:t>hükmünün bu kısmının süre belirtmek gerekirse uyuşmazlığımızı da etkileyecek şekilde 2021 yılma kadar dava açılmasının Önlenmesine yol açtığı, bu nedenle dava konusuna uygulanacak Yasanın değerlendirilmesi devletin yükümlülükleriyle bağdaşmamaktadır.</w:t>
      </w:r>
    </w:p>
    <w:p w:rsidR="001E7DA9" w:rsidRDefault="001E7DA9" w:rsidP="001E7DA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E7DA9">
        <w:rPr>
          <w:rFonts w:ascii="Times New Roman" w:hAnsi="Times New Roman" w:cs="Times New Roman"/>
          <w:szCs w:val="26"/>
        </w:rPr>
        <w:t>Anayasa 5. madde yönünden; yasal düzenlemelerin hukuk devletinde adaletli ve adaletin yerine getirilmesi açısından başvuru yollarını sınırlayıcı düzenlemelerde Yasa koyucu tarafından kaçınılması gerekliliğini öngörmektedir.</w:t>
      </w:r>
    </w:p>
    <w:p w:rsidR="001E7DA9" w:rsidRDefault="001E7DA9" w:rsidP="001E7DA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E7DA9">
        <w:rPr>
          <w:rFonts w:ascii="Times New Roman" w:hAnsi="Times New Roman" w:cs="Times New Roman"/>
          <w:szCs w:val="26"/>
        </w:rPr>
        <w:t>Anayasa 9. madde yönünden; yargı yetkisinin kullanılamaması genel hukuk ilkelerine göre uygun olmayan sınırlamalar dışındaki bir uygulamanın kabul edilmediği sonucu bulunmaktadır.</w:t>
      </w:r>
    </w:p>
    <w:p w:rsidR="001E7DA9" w:rsidRDefault="001E7DA9" w:rsidP="001E7DA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E7DA9">
        <w:rPr>
          <w:rFonts w:ascii="Times New Roman" w:hAnsi="Times New Roman" w:cs="Times New Roman"/>
          <w:szCs w:val="26"/>
        </w:rPr>
        <w:t>Anayasa 35. madde yönünden; Açık bir biçimde mülkiyet hakkının özüne dokunulması ve bu hususta denge gözetilmeden kişi haklarına aykırılığın oluşturulmaması gerektiği vurgulanmaktadır.</w:t>
      </w:r>
    </w:p>
    <w:p w:rsidR="001E7DA9" w:rsidRDefault="001E7DA9" w:rsidP="001E7DA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E7DA9">
        <w:rPr>
          <w:rFonts w:ascii="Times New Roman" w:hAnsi="Times New Roman" w:cs="Times New Roman"/>
          <w:szCs w:val="26"/>
        </w:rPr>
        <w:t>Anayasa 36. maddesi yönünden; idari itiraz veya dava yolu tanımadan önlenmesine yol açıcı yasal düzenleme getirilmesi nedeniyle Anayasa'nın bu hükmüne aykırılık mevcuttur.</w:t>
      </w:r>
    </w:p>
    <w:p w:rsidR="001E7DA9" w:rsidRDefault="001E7DA9" w:rsidP="001E7DA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E7DA9">
        <w:rPr>
          <w:rFonts w:ascii="Times New Roman" w:hAnsi="Times New Roman" w:cs="Times New Roman"/>
          <w:szCs w:val="26"/>
        </w:rPr>
        <w:t>Anayasa’nın 90. maddesi uyarınca uygun bulunan ve iç hukukun bir parçası halini alan Avrupa İnsan Hakları Sözleşmesinin 1 nolu Ek Protokolünün “Mülkiyetin korunması” başlıklı 1. maddesinde, “Her gerçek ve tüzel kişinin mal ve mülk dokunulmazlığına saygı gösterilmesini isteme hakkı vardır. Bir kimse, ancak kamu yararı sebebiyle ve yasada öngörülen koşullara ve uluslararası hukukun genel ilkelerine uygun olarak mal ve mülkünden yoksun bırakılabilir.” düzenlemesi yer almıştır.</w:t>
      </w:r>
    </w:p>
    <w:p w:rsidR="001E7DA9" w:rsidRDefault="001E7DA9" w:rsidP="001E7DA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E7DA9">
        <w:rPr>
          <w:rFonts w:ascii="Times New Roman" w:hAnsi="Times New Roman" w:cs="Times New Roman"/>
          <w:szCs w:val="26"/>
        </w:rPr>
        <w:t>Avrupa İnsan Hakları Mahkemesinin (AİHM), mülkiyet hakkı ihlali iddialarıyla açılmış olan, Hakan Arı-Türkiye, Hüseyin Kaplan-Türkiye davalarında Mahkeme, imar planında kamusal kullanıma ayrılan ve kullanımı kısıtlanan taşınmazların yukarıda sözü edilen hukuki düzenlemeler sonucunda, kamu yararının gerekleri ile temel haklarının korunması arasında hüküm sürmesi gereken adil dengenin gözetilip gözetilmediğini irdelemiştir. Kararlarda, ilgililerin imara açık taşınmazlarında inşaat ruhsatı elde etme haklarının meşru haklan olduğu, oysa bu nitelikteki taşınmazların imar yasağına tabi tutulması sonucunda mülkiyet hakkının akıbeti konusunda bir belirsizliğe itildiği ve mülkiyet hakkından yararlanmanın engellendiği sonucuna ulaşmıştır.</w:t>
      </w:r>
    </w:p>
    <w:p w:rsidR="001E7DA9" w:rsidRDefault="001E7DA9" w:rsidP="001E7DA9">
      <w:pPr>
        <w:widowControl/>
        <w:tabs>
          <w:tab w:val="left" w:pos="1134"/>
        </w:tabs>
        <w:spacing w:before="240" w:after="100" w:afterAutospacing="1"/>
        <w:ind w:firstLine="709"/>
        <w:jc w:val="both"/>
        <w:rPr>
          <w:rFonts w:ascii="Times New Roman" w:hAnsi="Times New Roman" w:cs="Times New Roman"/>
          <w:szCs w:val="26"/>
        </w:rPr>
      </w:pPr>
      <w:r>
        <w:rPr>
          <w:rStyle w:val="Gvdemetni"/>
          <w:rFonts w:eastAsia="Courier New"/>
          <w:sz w:val="24"/>
          <w:szCs w:val="26"/>
        </w:rPr>
        <w:t xml:space="preserve"> </w:t>
      </w:r>
      <w:r w:rsidRPr="001E7DA9">
        <w:rPr>
          <w:rStyle w:val="Gvdemetni"/>
          <w:rFonts w:eastAsia="Courier New"/>
          <w:sz w:val="24"/>
          <w:szCs w:val="26"/>
        </w:rPr>
        <w:t>SONUÇ</w:t>
      </w:r>
      <w:r w:rsidRPr="001E7DA9">
        <w:rPr>
          <w:rFonts w:ascii="Times New Roman" w:hAnsi="Times New Roman" w:cs="Times New Roman"/>
          <w:szCs w:val="26"/>
        </w:rPr>
        <w:t xml:space="preserve"> : Dava konusu kamulaştırmama nedeniyle tazminat isteminin; uzun yıllar sonuç alamamasına neden olan yasal düzenlemeyle mülkiyet hakkının kullanımının kısıtlanmasıyla beraber tamamiyle kurumların insiyatifıne bağlı olarak bir gelişme gösterdiği Anayasa'ya aykırılık yönündeki itiraz konusu kısımla beraber 2942 sayılı Kamulaştırma Kanunu'nda 20/08/2016 gün 6745 sayılı Yasayla satınalma usulü başlıklı 8. maddesi ek madde 1 (... yapılacak ödemelerin toplam tutarının idari olarak ayrılan ödeneğinin toplamını aşması halinde, ödemeler, en fazla 10 yıl da ve geçici 6. maddenin 8. fıkrasına göre yapılır, kamulaştırılmaksızın kamu hizmetine ayrılan taşınmazların bedel tespiti başlıklı geçici 6. maddesindeki hükümler özellikle son fıkra “Bu madde uyarınca ödenecek bedelin tahsili sebebiyle idarelerin mal, hak ve alacakları haczedilemez” beraber değerlendirildiğinde taşınmazın kısıtlılığı hatta kullanılamaz hale getirdiği açıktır.</w:t>
      </w:r>
    </w:p>
    <w:p w:rsidR="001E7DA9" w:rsidRPr="001E7DA9" w:rsidRDefault="001E7DA9" w:rsidP="001E7DA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lastRenderedPageBreak/>
        <w:t xml:space="preserve"> </w:t>
      </w:r>
      <w:r w:rsidRPr="001E7DA9">
        <w:rPr>
          <w:rFonts w:ascii="Times New Roman" w:hAnsi="Times New Roman" w:cs="Times New Roman"/>
          <w:szCs w:val="26"/>
        </w:rPr>
        <w:t>Kamu hizmetinin yürütülmesi to</w:t>
      </w:r>
      <w:bookmarkStart w:id="0" w:name="_GoBack"/>
      <w:bookmarkEnd w:id="0"/>
      <w:r w:rsidRPr="001E7DA9">
        <w:rPr>
          <w:rFonts w:ascii="Times New Roman" w:hAnsi="Times New Roman" w:cs="Times New Roman"/>
          <w:szCs w:val="26"/>
        </w:rPr>
        <w:t>plum yararı ile kişilerin maddi ve manevi menfaatleri arasındaki dengenin gözetilmesinde kamu  hizmetinin verimliliğinin ön planda tutulması mutlak olmakla beraber bu  dengenin  tamamiyle bir taraf yönünde gözetilmemesi</w:t>
      </w:r>
    </w:p>
    <w:p w:rsidR="001E7DA9" w:rsidRDefault="001E7DA9" w:rsidP="001E7DA9">
      <w:pPr>
        <w:widowControl/>
        <w:tabs>
          <w:tab w:val="left" w:pos="1134"/>
        </w:tabs>
        <w:spacing w:before="240" w:after="100" w:afterAutospacing="1"/>
        <w:ind w:firstLine="709"/>
        <w:jc w:val="both"/>
        <w:rPr>
          <w:rFonts w:ascii="Times New Roman" w:hAnsi="Times New Roman" w:cs="Times New Roman"/>
          <w:szCs w:val="26"/>
        </w:rPr>
      </w:pPr>
      <w:r w:rsidRPr="001E7DA9">
        <w:rPr>
          <w:rFonts w:ascii="Times New Roman" w:hAnsi="Times New Roman" w:cs="Times New Roman"/>
          <w:szCs w:val="26"/>
        </w:rPr>
        <w:t>sonucunu doğurmaması gerekliliği kamu vicdanı ve adalet açısından zorunluluktur. Bu bağlamda kurumların kamu hizmeti nedeniyle imar planlarında bir kısım taşınmazları kısıtlaması gerekliliği kişilerin toplum yararına bu menfaatlerinden vazgeçmesinde toplum düzeninin oluşmasındaki mülkiyet hakkının kullanılmasının engellenmesinin mülkiyet sahipleri açısından da en azından tazmini gerekeceği tabi olmakla bu dengeyi gözeten ve hak arama özgürlüğünü yıllara yayılı olarak ortadan kaldırmayan mevzuat hükümleri getirilmesi kurumların sonuç itibariyle de taşınmazın mülkiyetini uhdelerine de aldığı düşünüldüğünde Anayasa'ya aykırılık teşkil ettiği görüşüyle Anayasa Mahkemesine başvuruda bulunulması gerektiği sonucuna varılmıştır.</w:t>
      </w:r>
    </w:p>
    <w:p w:rsidR="001E7DA9" w:rsidRDefault="001E7DA9" w:rsidP="001E7DA9">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1E7DA9">
        <w:rPr>
          <w:rFonts w:ascii="Times New Roman" w:hAnsi="Times New Roman" w:cs="Times New Roman"/>
          <w:szCs w:val="26"/>
        </w:rPr>
        <w:t>HÜKÜM : Açıklanan nedenlerle, 2942 sayılı Kamulaştırma Yasanın geçici madde 11'in “Bu Kanunun Ek 1 inci maddesinin birinci fıkrası kapsamında kalan ve bu maddenin yürürlüğe girdiği tarihten önce tasarrufu hukuken kısıtlanan taşınmazlar hakkında aynı fıkrada belirtilen süre, bu maddenin yürürlüğe girdiği tarihten itibaren başlar. Bu Kanunun Ek 1 inci maddesinin üçüncü fıkrası hükmü, bu madde kapsamında kalan taşınmazlara ilişkin dava ve takipler hakkında da uygulanır.” ibaresinin Türkiye Cumhuriyeti Anayasa'sının 5-9-35 ve 36. maddelerine aykırı olduğu düşüncesi ile iptali istemi ilgili Anayasa Mahkemesine gidilmesine, dava dosyasının tüm belgeleri ile onaylı suretlerinin dosya oluşturularak karar aslı ile birlikte, Anayasa Mahkemesine sunulmasına bu karar ile dosya suretinin Yüksek Mahkemeye ulaşmasından itibaren 5 ay süre ile karar verilinceye kadar davanın bekletilmesine karardan bir suretinin taraflara tebliğine 25/11/2016 günü karar verildi.”</w:t>
      </w:r>
    </w:p>
    <w:p w:rsidR="001D02E4" w:rsidRPr="001E7DA9" w:rsidRDefault="001D02E4" w:rsidP="001E7DA9">
      <w:pPr>
        <w:widowControl/>
        <w:spacing w:before="240" w:after="100" w:afterAutospacing="1"/>
        <w:ind w:firstLine="709"/>
        <w:jc w:val="both"/>
        <w:rPr>
          <w:rFonts w:ascii="Times New Roman" w:hAnsi="Times New Roman" w:cs="Times New Roman"/>
        </w:rPr>
      </w:pPr>
    </w:p>
    <w:sectPr w:rsidR="001D02E4" w:rsidRPr="001E7DA9" w:rsidSect="001E7DA9">
      <w:headerReference w:type="even" r:id="rId6"/>
      <w:headerReference w:type="default" r:id="rId7"/>
      <w:footerReference w:type="even" r:id="rId8"/>
      <w:footerReference w:type="default" r:id="rId9"/>
      <w:type w:val="continuous"/>
      <w:pgSz w:w="11907" w:h="16840" w:code="9"/>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B78" w:rsidRDefault="00D00B78" w:rsidP="001E7DA9">
      <w:r>
        <w:separator/>
      </w:r>
    </w:p>
  </w:endnote>
  <w:endnote w:type="continuationSeparator" w:id="0">
    <w:p w:rsidR="00D00B78" w:rsidRDefault="00D00B78" w:rsidP="001E7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DA9" w:rsidRDefault="001E7DA9" w:rsidP="00B71A5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E7DA9" w:rsidRDefault="001E7DA9" w:rsidP="001E7DA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DA9" w:rsidRPr="001E7DA9" w:rsidRDefault="001E7DA9" w:rsidP="00B71A53">
    <w:pPr>
      <w:pStyle w:val="Altbilgi"/>
      <w:framePr w:wrap="around" w:vAnchor="text" w:hAnchor="margin" w:xAlign="right" w:y="1"/>
      <w:rPr>
        <w:rStyle w:val="SayfaNumaras"/>
        <w:rFonts w:ascii="Times New Roman" w:hAnsi="Times New Roman" w:cs="Times New Roman"/>
      </w:rPr>
    </w:pPr>
    <w:r w:rsidRPr="001E7DA9">
      <w:rPr>
        <w:rStyle w:val="SayfaNumaras"/>
        <w:rFonts w:ascii="Times New Roman" w:hAnsi="Times New Roman" w:cs="Times New Roman"/>
      </w:rPr>
      <w:fldChar w:fldCharType="begin"/>
    </w:r>
    <w:r w:rsidRPr="001E7DA9">
      <w:rPr>
        <w:rStyle w:val="SayfaNumaras"/>
        <w:rFonts w:ascii="Times New Roman" w:hAnsi="Times New Roman" w:cs="Times New Roman"/>
      </w:rPr>
      <w:instrText xml:space="preserve">PAGE  </w:instrText>
    </w:r>
    <w:r w:rsidRPr="001E7DA9">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1E7DA9">
      <w:rPr>
        <w:rStyle w:val="SayfaNumaras"/>
        <w:rFonts w:ascii="Times New Roman" w:hAnsi="Times New Roman" w:cs="Times New Roman"/>
      </w:rPr>
      <w:fldChar w:fldCharType="end"/>
    </w:r>
  </w:p>
  <w:p w:rsidR="001E7DA9" w:rsidRPr="001E7DA9" w:rsidRDefault="001E7DA9" w:rsidP="001E7DA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B78" w:rsidRDefault="00D00B78" w:rsidP="001E7DA9">
      <w:r>
        <w:separator/>
      </w:r>
    </w:p>
  </w:footnote>
  <w:footnote w:type="continuationSeparator" w:id="0">
    <w:p w:rsidR="00D00B78" w:rsidRDefault="00D00B78" w:rsidP="001E7D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CB4" w:rsidRDefault="00D00B78">
    <w:pPr>
      <w:pStyle w:val="stbilgi"/>
    </w:pPr>
  </w:p>
  <w:p w:rsidR="000E3CB4" w:rsidRDefault="00D00B78">
    <w:pPr>
      <w:pStyle w:val="stbilgi"/>
    </w:pPr>
  </w:p>
  <w:p w:rsidR="00C373C5" w:rsidRDefault="00D00B78">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DA9" w:rsidRPr="002E3531" w:rsidRDefault="001E7DA9" w:rsidP="001E7DA9">
    <w:pPr>
      <w:widowControl/>
      <w:shd w:val="clear" w:color="auto" w:fill="FFFFFF"/>
      <w:jc w:val="both"/>
      <w:rPr>
        <w:rFonts w:ascii="Times New Roman" w:eastAsia="Times New Roman" w:hAnsi="Times New Roman" w:cs="Times New Roman"/>
        <w:b/>
        <w:szCs w:val="18"/>
      </w:rPr>
    </w:pPr>
    <w:r w:rsidRPr="002E3531">
      <w:rPr>
        <w:rFonts w:ascii="Times New Roman" w:eastAsia="Times New Roman" w:hAnsi="Times New Roman" w:cs="Times New Roman"/>
        <w:b/>
        <w:bCs/>
        <w:szCs w:val="18"/>
      </w:rPr>
      <w:t>Esas Sayısı    </w:t>
    </w:r>
    <w:r>
      <w:rPr>
        <w:rFonts w:ascii="Times New Roman" w:eastAsia="Times New Roman" w:hAnsi="Times New Roman" w:cs="Times New Roman"/>
        <w:b/>
        <w:bCs/>
        <w:szCs w:val="18"/>
      </w:rPr>
      <w:t xml:space="preserve"> </w:t>
    </w:r>
    <w:r w:rsidRPr="002E3531">
      <w:rPr>
        <w:rFonts w:ascii="Times New Roman" w:eastAsia="Times New Roman" w:hAnsi="Times New Roman" w:cs="Times New Roman"/>
        <w:b/>
        <w:bCs/>
        <w:szCs w:val="18"/>
      </w:rPr>
      <w:t>: 2017/53</w:t>
    </w:r>
  </w:p>
  <w:p w:rsidR="001E7DA9" w:rsidRPr="002E3531" w:rsidRDefault="001E7DA9" w:rsidP="001E7DA9">
    <w:pPr>
      <w:widowControl/>
      <w:shd w:val="clear" w:color="auto" w:fill="FFFFFF"/>
      <w:jc w:val="both"/>
      <w:rPr>
        <w:rFonts w:ascii="Times New Roman" w:eastAsia="Times New Roman" w:hAnsi="Times New Roman" w:cs="Times New Roman"/>
        <w:b/>
        <w:szCs w:val="18"/>
      </w:rPr>
    </w:pPr>
    <w:r w:rsidRPr="002E3531">
      <w:rPr>
        <w:rFonts w:ascii="Times New Roman" w:eastAsia="Times New Roman" w:hAnsi="Times New Roman" w:cs="Times New Roman"/>
        <w:b/>
        <w:bCs/>
        <w:szCs w:val="18"/>
      </w:rPr>
      <w:t xml:space="preserve">Karar Sayısı </w:t>
    </w:r>
    <w:r>
      <w:rPr>
        <w:rFonts w:ascii="Times New Roman" w:eastAsia="Times New Roman" w:hAnsi="Times New Roman" w:cs="Times New Roman"/>
        <w:b/>
        <w:bCs/>
        <w:szCs w:val="18"/>
      </w:rPr>
      <w:t xml:space="preserve"> </w:t>
    </w:r>
    <w:r w:rsidRPr="002E3531">
      <w:rPr>
        <w:rFonts w:ascii="Times New Roman" w:eastAsia="Times New Roman" w:hAnsi="Times New Roman" w:cs="Times New Roman"/>
        <w:b/>
        <w:bCs/>
        <w:szCs w:val="18"/>
      </w:rPr>
      <w:t>: 2017/38</w:t>
    </w:r>
  </w:p>
  <w:p w:rsidR="00815188" w:rsidRPr="001E7DA9" w:rsidRDefault="00D00B78" w:rsidP="001E7DA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DA9"/>
    <w:rsid w:val="001D02E4"/>
    <w:rsid w:val="001E7DA9"/>
    <w:rsid w:val="00D00B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F5F8B6-261C-4CD4-A8B1-2F1F30E3E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E7DA9"/>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
    <w:basedOn w:val="VarsaylanParagrafYazTipi"/>
    <w:rsid w:val="001E7DA9"/>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tr-TR"/>
    </w:rPr>
  </w:style>
  <w:style w:type="character" w:customStyle="1" w:styleId="GvdemetniExact">
    <w:name w:val="Gövde metni Exact"/>
    <w:basedOn w:val="VarsaylanParagrafYazTipi"/>
    <w:rsid w:val="001E7DA9"/>
    <w:rPr>
      <w:rFonts w:ascii="Times New Roman" w:eastAsia="Times New Roman" w:hAnsi="Times New Roman" w:cs="Times New Roman"/>
      <w:b w:val="0"/>
      <w:bCs w:val="0"/>
      <w:i w:val="0"/>
      <w:iCs w:val="0"/>
      <w:smallCaps w:val="0"/>
      <w:strike w:val="0"/>
      <w:spacing w:val="4"/>
      <w:sz w:val="20"/>
      <w:szCs w:val="20"/>
      <w:u w:val="none"/>
    </w:rPr>
  </w:style>
  <w:style w:type="paragraph" w:styleId="stbilgi">
    <w:name w:val="header"/>
    <w:basedOn w:val="Normal"/>
    <w:link w:val="stbilgiChar"/>
    <w:uiPriority w:val="99"/>
    <w:unhideWhenUsed/>
    <w:rsid w:val="001E7DA9"/>
    <w:pPr>
      <w:tabs>
        <w:tab w:val="center" w:pos="4536"/>
        <w:tab w:val="right" w:pos="9072"/>
      </w:tabs>
    </w:pPr>
  </w:style>
  <w:style w:type="character" w:customStyle="1" w:styleId="stbilgiChar">
    <w:name w:val="Üstbilgi Char"/>
    <w:basedOn w:val="VarsaylanParagrafYazTipi"/>
    <w:link w:val="stbilgi"/>
    <w:uiPriority w:val="99"/>
    <w:rsid w:val="001E7DA9"/>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1E7DA9"/>
    <w:pPr>
      <w:tabs>
        <w:tab w:val="center" w:pos="4536"/>
        <w:tab w:val="right" w:pos="9072"/>
      </w:tabs>
    </w:pPr>
  </w:style>
  <w:style w:type="character" w:customStyle="1" w:styleId="AltbilgiChar">
    <w:name w:val="Altbilgi Char"/>
    <w:basedOn w:val="VarsaylanParagrafYazTipi"/>
    <w:link w:val="Altbilgi"/>
    <w:uiPriority w:val="99"/>
    <w:rsid w:val="001E7DA9"/>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1E7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3605</Words>
  <Characters>20552</Characters>
  <Application>Microsoft Office Word</Application>
  <DocSecurity>0</DocSecurity>
  <Lines>171</Lines>
  <Paragraphs>48</Paragraphs>
  <ScaleCrop>false</ScaleCrop>
  <Company/>
  <LinksUpToDate>false</LinksUpToDate>
  <CharactersWithSpaces>24109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2019-04-08T10:43:00Z</dcterms:created>
  <dcterms:modified xsi:type="dcterms:W3CDTF">2019-04-08T10:45:00Z</dcterms:modified>
</cp:coreProperties>
</file>