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34" w:rsidRDefault="00166034" w:rsidP="00166034">
      <w:pPr>
        <w:pStyle w:val="Gvdemetni3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166034">
        <w:rPr>
          <w:b w:val="0"/>
          <w:sz w:val="24"/>
          <w:szCs w:val="26"/>
        </w:rPr>
        <w:t>“…</w:t>
      </w:r>
    </w:p>
    <w:p w:rsidR="00166034" w:rsidRDefault="00166034" w:rsidP="00166034">
      <w:pPr>
        <w:pStyle w:val="Gvdemetni3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166034">
        <w:rPr>
          <w:b w:val="0"/>
          <w:sz w:val="24"/>
          <w:szCs w:val="26"/>
        </w:rPr>
        <w:t>Delillerin Değerlendirilmesi ve Gerekçe:</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roofErr w:type="gramStart"/>
      <w:r w:rsidRPr="00166034">
        <w:rPr>
          <w:rFonts w:ascii="Times New Roman" w:hAnsi="Times New Roman" w:cs="Times New Roman"/>
          <w:szCs w:val="26"/>
        </w:rPr>
        <w:t>Hakimliğimizce</w:t>
      </w:r>
      <w:proofErr w:type="gramEnd"/>
      <w:r w:rsidRPr="00166034">
        <w:rPr>
          <w:rFonts w:ascii="Times New Roman" w:hAnsi="Times New Roman" w:cs="Times New Roman"/>
          <w:szCs w:val="26"/>
        </w:rPr>
        <w:t xml:space="preserve"> görülmekte olan idari para cezasına itiraz müracaatı ve devam eden yargılama safahatında esasa geçilmeden ön</w:t>
      </w:r>
      <w:bookmarkStart w:id="0" w:name="_GoBack"/>
      <w:bookmarkEnd w:id="0"/>
      <w:r w:rsidRPr="00166034">
        <w:rPr>
          <w:rFonts w:ascii="Times New Roman" w:hAnsi="Times New Roman" w:cs="Times New Roman"/>
          <w:szCs w:val="26"/>
        </w:rPr>
        <w:t>ce itiraz konusu dayanak mevzuatın anayasaya aykırılığı fikri hasıl olduğundan öncelikle anayasaya aykırılığın değerlendirilmesi hususunda itiraz yolu ile Anayasa Mahkemesi’ne başvurma kararına varılmıştır.</w:t>
      </w:r>
    </w:p>
    <w:p w:rsidR="00166034" w:rsidRDefault="00166034" w:rsidP="00166034">
      <w:pPr>
        <w:pStyle w:val="Gvdemetni3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166034">
        <w:rPr>
          <w:b w:val="0"/>
          <w:sz w:val="24"/>
          <w:szCs w:val="26"/>
        </w:rPr>
        <w:t>Anayasaya Aykırılık Sorunu ve İncelenmesi:</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İdari yaptırıma esas teşkil eden hukuki mevzuat ve bu anlamda demekler kanunu hükümleri incelenecek olur ise:</w:t>
      </w:r>
    </w:p>
    <w:p w:rsidR="00166034" w:rsidRDefault="00166034" w:rsidP="00166034">
      <w:pPr>
        <w:pStyle w:val="Gvdemetni4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166034">
        <w:rPr>
          <w:i w:val="0"/>
          <w:sz w:val="24"/>
          <w:szCs w:val="26"/>
        </w:rPr>
        <w:t>Mükellefiyet ihdas eden madde:</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Madde 22- Demekler genel kurullarının yetki vermesi üzerine yönetim kurulu kararıyla taşınmaz mal satın alabilir veya taşınmaz mallarını satabilirler. Demekler edindikleri taşınmazları, tapuya tescilinden itibaren bir ay içinde mülkî idare amirliğine bildirmekle yükümlüdürler.</w:t>
      </w:r>
    </w:p>
    <w:p w:rsidR="00166034" w:rsidRDefault="00166034" w:rsidP="00166034">
      <w:pPr>
        <w:pStyle w:val="Gvdemetni40"/>
        <w:widowControl/>
        <w:shd w:val="clear" w:color="auto" w:fill="auto"/>
        <w:tabs>
          <w:tab w:val="left" w:pos="1134"/>
        </w:tabs>
        <w:spacing w:before="240" w:after="100" w:afterAutospacing="1" w:line="240" w:lineRule="auto"/>
        <w:ind w:firstLine="709"/>
        <w:rPr>
          <w:i w:val="0"/>
          <w:sz w:val="24"/>
          <w:szCs w:val="26"/>
        </w:rPr>
      </w:pPr>
      <w:r>
        <w:rPr>
          <w:i w:val="0"/>
          <w:sz w:val="24"/>
          <w:szCs w:val="26"/>
        </w:rPr>
        <w:t xml:space="preserve"> </w:t>
      </w:r>
      <w:r w:rsidRPr="00166034">
        <w:rPr>
          <w:i w:val="0"/>
          <w:sz w:val="24"/>
          <w:szCs w:val="26"/>
        </w:rPr>
        <w:t>Müeyyide tayin eden madde:</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Madde 32-1 22, 23 ve 24 üncü maddelerde belirtilen bildirim yükümlülüğünü, 19 uncu maddede belirtilen beyanname verme yükümlülüğünü yerine getirmeyen demek yöneticilerine ve 24 üncü maddede belirtilen temsilcilere </w:t>
      </w:r>
      <w:proofErr w:type="spellStart"/>
      <w:r w:rsidRPr="00166034">
        <w:rPr>
          <w:rFonts w:ascii="Times New Roman" w:hAnsi="Times New Roman" w:cs="Times New Roman"/>
          <w:szCs w:val="26"/>
        </w:rPr>
        <w:t>beşyüz</w:t>
      </w:r>
      <w:proofErr w:type="spellEnd"/>
      <w:r w:rsidRPr="00166034">
        <w:rPr>
          <w:rFonts w:ascii="Times New Roman" w:hAnsi="Times New Roman" w:cs="Times New Roman"/>
          <w:szCs w:val="26"/>
        </w:rPr>
        <w:t xml:space="preserve"> Türk Lirası idari para cezası verilir.</w:t>
      </w:r>
    </w:p>
    <w:p w:rsidR="00166034" w:rsidRP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roofErr w:type="spellStart"/>
      <w:r w:rsidRPr="00166034">
        <w:rPr>
          <w:rFonts w:ascii="Times New Roman" w:hAnsi="Times New Roman" w:cs="Times New Roman"/>
          <w:szCs w:val="26"/>
        </w:rPr>
        <w:t>Kanunkoyucu</w:t>
      </w:r>
      <w:proofErr w:type="spellEnd"/>
      <w:r w:rsidRPr="00166034">
        <w:rPr>
          <w:rFonts w:ascii="Times New Roman" w:hAnsi="Times New Roman" w:cs="Times New Roman"/>
          <w:szCs w:val="26"/>
        </w:rPr>
        <w:t xml:space="preserve"> bildirim yükümlülüğü öngörmüş ve bunu yaptırıma bağlamıştır.</w:t>
      </w:r>
      <w:r>
        <w:rPr>
          <w:rFonts w:ascii="Times New Roman" w:hAnsi="Times New Roman" w:cs="Times New Roman"/>
          <w:szCs w:val="26"/>
        </w:rPr>
        <w:t xml:space="preserve"> </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İdari yaptırımların mevcudiyeti ve gayesi, himaye ettiği hukuki nizam ve değerler, objektif ve normatif hukuk düzeninde hukuki düzenlemelerin gerekliliği açılarından eleştirel yönden varlıklarının sorgulanması gerekmektedir. Zira ülkemizde idari para cezası şeklinde idari yaptırım ile müeyyide öngörülen kabahat tiplerinin çok mühim bir kısmı şekli düzenlemeler ve yükümlülüklerden ileri gelmektedir. </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İdare elindeki gerek fiziksel altyapı ve imkanları </w:t>
      </w:r>
      <w:proofErr w:type="gramStart"/>
      <w:r w:rsidRPr="00166034">
        <w:rPr>
          <w:rFonts w:ascii="Times New Roman" w:hAnsi="Times New Roman" w:cs="Times New Roman"/>
          <w:szCs w:val="26"/>
        </w:rPr>
        <w:t>ile,</w:t>
      </w:r>
      <w:proofErr w:type="gramEnd"/>
      <w:r w:rsidRPr="00166034">
        <w:rPr>
          <w:rFonts w:ascii="Times New Roman" w:hAnsi="Times New Roman" w:cs="Times New Roman"/>
          <w:szCs w:val="26"/>
        </w:rPr>
        <w:t xml:space="preserve"> gerek kendi bünyesindeki kamu görevlileri yahut 3. kişi ve kurumlar eli ile her zaman denetim yapabilir, her daim istediği bilgi ve belgeleri temin edebilir.</w:t>
      </w:r>
    </w:p>
    <w:p w:rsidR="00166034" w:rsidRP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İlave olarak TMK 1020 hükmü dairesinde tapu sicilleri aleni ve açık olup her türlü ayni hakka ait işlemler tapu sicilinden yapıldığı gibi kamu idaresi ilgisini inanılır kılmaya muhtaç 3. kişiler gibi olmayıp dilediği zaman tapudan bilgi temin edebilir.</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Özellikle günümüzde yaygın şekilde kullanılan on-</w:t>
      </w:r>
      <w:proofErr w:type="spellStart"/>
      <w:r w:rsidRPr="00166034">
        <w:rPr>
          <w:rFonts w:ascii="Times New Roman" w:hAnsi="Times New Roman" w:cs="Times New Roman"/>
          <w:szCs w:val="26"/>
        </w:rPr>
        <w:t>line</w:t>
      </w:r>
      <w:proofErr w:type="spellEnd"/>
      <w:r w:rsidRPr="00166034">
        <w:rPr>
          <w:rFonts w:ascii="Times New Roman" w:hAnsi="Times New Roman" w:cs="Times New Roman"/>
          <w:szCs w:val="26"/>
        </w:rPr>
        <w:t xml:space="preserve"> sistem ve bilgisayara işlenmiş veriler ile uzun yazışma ve araştırmalar hacet kalmadan çok kısa zamanda bilgi teminin mümkündür.</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Hukuk sistemi kendi içerisinde </w:t>
      </w:r>
      <w:proofErr w:type="spellStart"/>
      <w:r w:rsidRPr="00166034">
        <w:rPr>
          <w:rFonts w:ascii="Times New Roman" w:hAnsi="Times New Roman" w:cs="Times New Roman"/>
          <w:szCs w:val="26"/>
        </w:rPr>
        <w:t>elbetteki</w:t>
      </w:r>
      <w:proofErr w:type="spellEnd"/>
      <w:r w:rsidRPr="00166034">
        <w:rPr>
          <w:rFonts w:ascii="Times New Roman" w:hAnsi="Times New Roman" w:cs="Times New Roman"/>
          <w:szCs w:val="26"/>
        </w:rPr>
        <w:t xml:space="preserve"> nimet-külfet muvazenesine uygun olarak düzenleme ihdas eder. </w:t>
      </w:r>
      <w:proofErr w:type="gramStart"/>
      <w:r w:rsidRPr="00166034">
        <w:rPr>
          <w:rFonts w:ascii="Times New Roman" w:hAnsi="Times New Roman" w:cs="Times New Roman"/>
          <w:szCs w:val="26"/>
        </w:rPr>
        <w:t xml:space="preserve">İtiraza konu idari işlem açısından bu husus somutlaştırılacak olur ise </w:t>
      </w:r>
      <w:proofErr w:type="spellStart"/>
      <w:r w:rsidRPr="00166034">
        <w:rPr>
          <w:rFonts w:ascii="Times New Roman" w:hAnsi="Times New Roman" w:cs="Times New Roman"/>
          <w:szCs w:val="26"/>
        </w:rPr>
        <w:lastRenderedPageBreak/>
        <w:t>kanunkoyucu</w:t>
      </w:r>
      <w:proofErr w:type="spellEnd"/>
      <w:r w:rsidRPr="00166034">
        <w:rPr>
          <w:rFonts w:ascii="Times New Roman" w:hAnsi="Times New Roman" w:cs="Times New Roman"/>
          <w:szCs w:val="26"/>
        </w:rPr>
        <w:t xml:space="preserve"> demek kurma hakkı ve bu bağlamda derneğin taşınmaz edinme hakkını hukuk düzeni içerisinde tammış ve bu hususta taşınmaz edinme nimetine mukabil bildirim külfeti ihdas etmiş ve bildirim yapılmaması durumunda külfetin gereğini yapmayan demek için idari para cezası takdir etmiştir.</w:t>
      </w:r>
      <w:proofErr w:type="gramEnd"/>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İşte bu vaziyet ise genel anlamda hukuk devleti ilkesine, özel olarak ise demek kurma hakkı ve mülkiyet hakkına aykırı olup her iki hakkın da özünü zedelemektedir. </w:t>
      </w:r>
      <w:proofErr w:type="gramStart"/>
      <w:r w:rsidRPr="00166034">
        <w:rPr>
          <w:rFonts w:ascii="Times New Roman" w:hAnsi="Times New Roman" w:cs="Times New Roman"/>
          <w:szCs w:val="26"/>
        </w:rPr>
        <w:t xml:space="preserve">Zira tayin edilen şekli yükümlülüklerin mevcut idari sistem ve işleyişte, günümüzün hızlı ve pratik bilgiye ulaşma şartlarında, kamu ile fertlerin özel kişi yahut tüzelkişi olmaları </w:t>
      </w:r>
      <w:proofErr w:type="spellStart"/>
      <w:r w:rsidRPr="00166034">
        <w:rPr>
          <w:rFonts w:ascii="Times New Roman" w:hAnsi="Times New Roman" w:cs="Times New Roman"/>
          <w:szCs w:val="26"/>
        </w:rPr>
        <w:t>farketmeksizin</w:t>
      </w:r>
      <w:proofErr w:type="spellEnd"/>
      <w:r w:rsidRPr="00166034">
        <w:rPr>
          <w:rFonts w:ascii="Times New Roman" w:hAnsi="Times New Roman" w:cs="Times New Roman"/>
          <w:szCs w:val="26"/>
        </w:rPr>
        <w:t xml:space="preserve"> lüzumsuz yere karşı karşıya gelmeleri cihetlerinde varlığı ve etkinliği ile bu doğrultuda meşruiyetleri sorgulanacak olur ise öngörülen şekilde bir şekli yükümlülük ile bunu yaptırıma bağlayan cezai bir düzenlemeye ihtiyaç duyulmamaktadır.</w:t>
      </w:r>
      <w:proofErr w:type="gramEnd"/>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Ayrıca olması gereken hukuk düzeni içerisinde de ihdas edilen kabahate ilişkin olarak kabahat normunun hukuki koruma amacı açısından demek tüzelkişiliğinin bir şeyi saki </w:t>
      </w:r>
      <w:proofErr w:type="gramStart"/>
      <w:r w:rsidRPr="00166034">
        <w:rPr>
          <w:rFonts w:ascii="Times New Roman" w:hAnsi="Times New Roman" w:cs="Times New Roman"/>
          <w:szCs w:val="26"/>
        </w:rPr>
        <w:t>ama,</w:t>
      </w:r>
      <w:proofErr w:type="gramEnd"/>
      <w:r w:rsidRPr="00166034">
        <w:rPr>
          <w:rFonts w:ascii="Times New Roman" w:hAnsi="Times New Roman" w:cs="Times New Roman"/>
          <w:szCs w:val="26"/>
        </w:rPr>
        <w:t xml:space="preserve"> gizleme kastını cezalandırmadığı ortadadır. Zira tapu sicilinde tapu idaresi huzurunda aleni bir işlem yapılmaktadır. Böyle bir ortamda bir şeyin gizlenmesi ya da en başından idarenin durumdan haberdar olmamasına dair bir kasıt ya da niyetin varlığından söz edilemez.</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roofErr w:type="spellStart"/>
      <w:r w:rsidRPr="00166034">
        <w:rPr>
          <w:rFonts w:ascii="Times New Roman" w:hAnsi="Times New Roman" w:cs="Times New Roman"/>
          <w:szCs w:val="26"/>
        </w:rPr>
        <w:t>Demeklerin</w:t>
      </w:r>
      <w:proofErr w:type="spellEnd"/>
      <w:r w:rsidRPr="00166034">
        <w:rPr>
          <w:rFonts w:ascii="Times New Roman" w:hAnsi="Times New Roman" w:cs="Times New Roman"/>
          <w:szCs w:val="26"/>
        </w:rPr>
        <w:t xml:space="preserve"> mali durumlarına ilişkin gayrimenkul iktisabı gibi bir halin bilinmesi gerekli bir husus olduğu, bu nedenle </w:t>
      </w:r>
      <w:proofErr w:type="spellStart"/>
      <w:r w:rsidRPr="00166034">
        <w:rPr>
          <w:rFonts w:ascii="Times New Roman" w:hAnsi="Times New Roman" w:cs="Times New Roman"/>
          <w:szCs w:val="26"/>
        </w:rPr>
        <w:t>sözkonusu</w:t>
      </w:r>
      <w:proofErr w:type="spellEnd"/>
      <w:r w:rsidRPr="00166034">
        <w:rPr>
          <w:rFonts w:ascii="Times New Roman" w:hAnsi="Times New Roman" w:cs="Times New Roman"/>
          <w:szCs w:val="26"/>
        </w:rPr>
        <w:t xml:space="preserve"> bildirim mükellefiyeti ve idari yaptırımı savunan bir görüş bulunabilir. Fakat yukarda açıklanan gerekçeler doğrultusunda böylesi bir vaziyetin gerekliliği düşünülüyor ise bu hususta idare her türlü hak ve </w:t>
      </w:r>
      <w:proofErr w:type="gramStart"/>
      <w:r w:rsidRPr="00166034">
        <w:rPr>
          <w:rFonts w:ascii="Times New Roman" w:hAnsi="Times New Roman" w:cs="Times New Roman"/>
          <w:szCs w:val="26"/>
        </w:rPr>
        <w:t>imkana</w:t>
      </w:r>
      <w:proofErr w:type="gramEnd"/>
      <w:r w:rsidRPr="00166034">
        <w:rPr>
          <w:rFonts w:ascii="Times New Roman" w:hAnsi="Times New Roman" w:cs="Times New Roman"/>
          <w:szCs w:val="26"/>
        </w:rPr>
        <w:t xml:space="preserve"> sahiptir. Kaldı ki gizleme, saklama ihtimalinin de olmadığı bir işlem yapılmaktadır.</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Eğer </w:t>
      </w:r>
      <w:proofErr w:type="spellStart"/>
      <w:r w:rsidRPr="00166034">
        <w:rPr>
          <w:rFonts w:ascii="Times New Roman" w:hAnsi="Times New Roman" w:cs="Times New Roman"/>
          <w:szCs w:val="26"/>
        </w:rPr>
        <w:t>sözkonusu</w:t>
      </w:r>
      <w:proofErr w:type="spellEnd"/>
      <w:r w:rsidRPr="00166034">
        <w:rPr>
          <w:rFonts w:ascii="Times New Roman" w:hAnsi="Times New Roman" w:cs="Times New Roman"/>
          <w:szCs w:val="26"/>
        </w:rPr>
        <w:t xml:space="preserve"> düzenlemeden </w:t>
      </w:r>
      <w:proofErr w:type="gramStart"/>
      <w:r w:rsidRPr="00166034">
        <w:rPr>
          <w:rFonts w:ascii="Times New Roman" w:hAnsi="Times New Roman" w:cs="Times New Roman"/>
          <w:szCs w:val="26"/>
        </w:rPr>
        <w:t>hasıl</w:t>
      </w:r>
      <w:proofErr w:type="gramEnd"/>
      <w:r w:rsidRPr="00166034">
        <w:rPr>
          <w:rFonts w:ascii="Times New Roman" w:hAnsi="Times New Roman" w:cs="Times New Roman"/>
          <w:szCs w:val="26"/>
        </w:rPr>
        <w:t xml:space="preserve"> olan netice babında idare derneğin taşınmaz edinmesi hususunda bilgi sahibi olmak istiyor ise tapu idaresinin tarafı demek olan, derneklerin taşınmaz edindiği hallere mahsus işlemleri idareye bildirmesi mantıklı ve pratik bir çözümdür. İlgili düzenlemeden temin edilecek netice olarak düzenlemelerin muhafazası yerine bu şekildeki bir tercihte bulunulması da yeterli olacaktır.</w:t>
      </w:r>
    </w:p>
    <w:p w:rsidR="00166034" w:rsidRP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Yukarıda açıklanan gerekçeler ve vasıflandırma bağlamında 5253 sayılı Demekler Kanunu’nun 22. maddesi ile 32/1 hükmünün anayasanın 2</w:t>
      </w:r>
      <w:proofErr w:type="gramStart"/>
      <w:r w:rsidRPr="00166034">
        <w:rPr>
          <w:rFonts w:ascii="Times New Roman" w:hAnsi="Times New Roman" w:cs="Times New Roman"/>
          <w:szCs w:val="26"/>
        </w:rPr>
        <w:t>.,</w:t>
      </w:r>
      <w:proofErr w:type="gramEnd"/>
      <w:r w:rsidRPr="00166034">
        <w:rPr>
          <w:rFonts w:ascii="Times New Roman" w:hAnsi="Times New Roman" w:cs="Times New Roman"/>
          <w:szCs w:val="26"/>
        </w:rPr>
        <w:t xml:space="preserve"> 33. ve 35. maddelerine aykırı olduğu kanaatine varılmakla ilgili hükümlerin anayasa aykırılık hususunda değerlendirilmesi ihtiyacı hasıl olduğundan dosya ve ilgili mevzuatın görüşülmek ve karar verilmek üzere Anayasa Mahkemesine gönderilmesine karar verilmiştir.</w:t>
      </w:r>
    </w:p>
    <w:p w:rsidR="00166034" w:rsidRP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sidRPr="00166034">
        <w:rPr>
          <w:rStyle w:val="Gvdemetni"/>
          <w:rFonts w:eastAsia="Courier New"/>
          <w:sz w:val="24"/>
          <w:szCs w:val="26"/>
          <w:u w:val="none"/>
        </w:rPr>
        <w:t xml:space="preserve"> </w:t>
      </w:r>
      <w:r w:rsidRPr="00166034">
        <w:rPr>
          <w:rStyle w:val="Gvdemetni"/>
          <w:rFonts w:eastAsia="Courier New"/>
          <w:sz w:val="24"/>
          <w:szCs w:val="26"/>
          <w:u w:val="none"/>
        </w:rPr>
        <w:t>KARAR:</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Gerekçesi yukarıda açıklandığı üzere;</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1-) Demekler</w:t>
      </w:r>
      <w:r>
        <w:rPr>
          <w:rFonts w:ascii="Times New Roman" w:hAnsi="Times New Roman" w:cs="Times New Roman"/>
          <w:szCs w:val="26"/>
        </w:rPr>
        <w:t xml:space="preserve"> </w:t>
      </w:r>
      <w:r w:rsidRPr="00166034">
        <w:rPr>
          <w:rFonts w:ascii="Times New Roman" w:hAnsi="Times New Roman" w:cs="Times New Roman"/>
          <w:szCs w:val="26"/>
        </w:rPr>
        <w:t>Kanunu’nun 22. maddesi ile 32/1 hükmünün anayasaya aykırılığı hususunda görüşülmek ve karar verilmek üzere Anayasa'nın 152/1 hükmü gereğince ANAYASA MAHKEMESİNE GÖNDERİLMESİNE,</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2-) Anayasanın</w:t>
      </w:r>
      <w:r>
        <w:rPr>
          <w:rFonts w:ascii="Times New Roman" w:hAnsi="Times New Roman" w:cs="Times New Roman"/>
          <w:szCs w:val="26"/>
        </w:rPr>
        <w:t xml:space="preserve"> </w:t>
      </w:r>
      <w:r w:rsidRPr="00166034">
        <w:rPr>
          <w:rFonts w:ascii="Times New Roman" w:hAnsi="Times New Roman" w:cs="Times New Roman"/>
          <w:szCs w:val="26"/>
        </w:rPr>
        <w:t>152 maddesi gereğince itiraz müracaatının 5 ay süre ile DURMASINA, 5 ay içerisinde karar verilmediği takdirde dosyanın tekrar ele alınmasına,</w:t>
      </w:r>
    </w:p>
    <w:p w:rsidR="00166034" w:rsidRP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3-) Kararın muterize ve idari yaptırımı tatbik eden birime TEBLİĞİNE,</w:t>
      </w:r>
      <w:r>
        <w:rPr>
          <w:rFonts w:ascii="Times New Roman" w:hAnsi="Times New Roman" w:cs="Times New Roman"/>
          <w:szCs w:val="26"/>
        </w:rPr>
        <w:t xml:space="preserve"> </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66034">
        <w:rPr>
          <w:rFonts w:ascii="Times New Roman" w:hAnsi="Times New Roman" w:cs="Times New Roman"/>
          <w:szCs w:val="26"/>
        </w:rPr>
        <w:t xml:space="preserve">4-) Dosyanın da karar ile birlikte GÖNDERİLMESİNE, gölge dosya yapılmaksızın yeni bir değişik iş numarası alınarak kararı müteakip yahut </w:t>
      </w:r>
      <w:proofErr w:type="gramStart"/>
      <w:r w:rsidRPr="00166034">
        <w:rPr>
          <w:rFonts w:ascii="Times New Roman" w:hAnsi="Times New Roman" w:cs="Times New Roman"/>
          <w:szCs w:val="26"/>
        </w:rPr>
        <w:t>Anayasa’nın  152</w:t>
      </w:r>
      <w:proofErr w:type="gramEnd"/>
      <w:r w:rsidRPr="00166034">
        <w:rPr>
          <w:rFonts w:ascii="Times New Roman" w:hAnsi="Times New Roman" w:cs="Times New Roman"/>
          <w:szCs w:val="26"/>
        </w:rPr>
        <w:t>/3 hükmü uyarınca 5 aylık süreden sonra karar verilmek üzere itiraz müracaatına yeni bir dosya numarası üzerinden DEVAMINA,</w:t>
      </w:r>
    </w:p>
    <w:p w:rsidR="00166034" w:rsidRDefault="00166034" w:rsidP="0016603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66034">
        <w:rPr>
          <w:rFonts w:ascii="Times New Roman" w:hAnsi="Times New Roman" w:cs="Times New Roman"/>
          <w:szCs w:val="26"/>
        </w:rPr>
        <w:t xml:space="preserve">Mahiyeti itibari ile müessese doğrudan Anayasa’da öngörüldüğünden ve </w:t>
      </w:r>
      <w:proofErr w:type="gramStart"/>
      <w:r w:rsidRPr="00166034">
        <w:rPr>
          <w:rFonts w:ascii="Times New Roman" w:hAnsi="Times New Roman" w:cs="Times New Roman"/>
          <w:szCs w:val="26"/>
        </w:rPr>
        <w:t>kanun  yolu</w:t>
      </w:r>
      <w:proofErr w:type="gramEnd"/>
      <w:r w:rsidRPr="00166034">
        <w:rPr>
          <w:rFonts w:ascii="Times New Roman" w:hAnsi="Times New Roman" w:cs="Times New Roman"/>
          <w:szCs w:val="26"/>
        </w:rPr>
        <w:t xml:space="preserve"> öngörülmediğinden kesin olarak karar verildi.”</w:t>
      </w:r>
    </w:p>
    <w:p w:rsidR="001D02E4" w:rsidRPr="00166034" w:rsidRDefault="001D02E4" w:rsidP="00166034">
      <w:pPr>
        <w:widowControl/>
        <w:spacing w:before="240" w:after="100" w:afterAutospacing="1"/>
        <w:ind w:firstLine="709"/>
        <w:jc w:val="both"/>
        <w:rPr>
          <w:rFonts w:ascii="Times New Roman" w:hAnsi="Times New Roman" w:cs="Times New Roman"/>
        </w:rPr>
      </w:pPr>
    </w:p>
    <w:sectPr w:rsidR="001D02E4" w:rsidRPr="00166034" w:rsidSect="00166034">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63" w:rsidRDefault="00FC0F63" w:rsidP="00166034">
      <w:r>
        <w:separator/>
      </w:r>
    </w:p>
  </w:endnote>
  <w:endnote w:type="continuationSeparator" w:id="0">
    <w:p w:rsidR="00FC0F63" w:rsidRDefault="00FC0F63" w:rsidP="0016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34" w:rsidRDefault="00166034" w:rsidP="00AF46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6034" w:rsidRDefault="00166034" w:rsidP="001660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34" w:rsidRPr="00166034" w:rsidRDefault="00166034" w:rsidP="00AF4638">
    <w:pPr>
      <w:pStyle w:val="Altbilgi"/>
      <w:framePr w:wrap="around" w:vAnchor="text" w:hAnchor="margin" w:xAlign="right" w:y="1"/>
      <w:rPr>
        <w:rStyle w:val="SayfaNumaras"/>
        <w:rFonts w:ascii="Times New Roman" w:hAnsi="Times New Roman" w:cs="Times New Roman"/>
      </w:rPr>
    </w:pPr>
    <w:r w:rsidRPr="00166034">
      <w:rPr>
        <w:rStyle w:val="SayfaNumaras"/>
        <w:rFonts w:ascii="Times New Roman" w:hAnsi="Times New Roman" w:cs="Times New Roman"/>
      </w:rPr>
      <w:fldChar w:fldCharType="begin"/>
    </w:r>
    <w:r w:rsidRPr="00166034">
      <w:rPr>
        <w:rStyle w:val="SayfaNumaras"/>
        <w:rFonts w:ascii="Times New Roman" w:hAnsi="Times New Roman" w:cs="Times New Roman"/>
      </w:rPr>
      <w:instrText xml:space="preserve">PAGE  </w:instrText>
    </w:r>
    <w:r w:rsidRPr="001660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6034">
      <w:rPr>
        <w:rStyle w:val="SayfaNumaras"/>
        <w:rFonts w:ascii="Times New Roman" w:hAnsi="Times New Roman" w:cs="Times New Roman"/>
      </w:rPr>
      <w:fldChar w:fldCharType="end"/>
    </w:r>
  </w:p>
  <w:p w:rsidR="00166034" w:rsidRPr="00166034" w:rsidRDefault="00166034" w:rsidP="001660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63" w:rsidRDefault="00FC0F63" w:rsidP="00166034">
      <w:r>
        <w:separator/>
      </w:r>
    </w:p>
  </w:footnote>
  <w:footnote w:type="continuationSeparator" w:id="0">
    <w:p w:rsidR="00FC0F63" w:rsidRDefault="00FC0F63" w:rsidP="00166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34" w:rsidRPr="00EF7246" w:rsidRDefault="00166034" w:rsidP="00166034">
    <w:pPr>
      <w:widowControl/>
      <w:shd w:val="clear" w:color="auto" w:fill="FFFFFF"/>
      <w:jc w:val="both"/>
      <w:rPr>
        <w:rFonts w:ascii="Times New Roman" w:eastAsia="Times New Roman" w:hAnsi="Times New Roman" w:cs="Times New Roman"/>
        <w:b/>
        <w:szCs w:val="18"/>
      </w:rPr>
    </w:pPr>
    <w:r w:rsidRPr="00EF7246">
      <w:rPr>
        <w:rFonts w:ascii="Times New Roman" w:eastAsia="Times New Roman" w:hAnsi="Times New Roman" w:cs="Times New Roman"/>
        <w:b/>
        <w:bCs/>
        <w:szCs w:val="18"/>
      </w:rPr>
      <w:t xml:space="preserve">Esas </w:t>
    </w:r>
    <w:proofErr w:type="gramStart"/>
    <w:r w:rsidRPr="00EF7246">
      <w:rPr>
        <w:rFonts w:ascii="Times New Roman" w:eastAsia="Times New Roman" w:hAnsi="Times New Roman" w:cs="Times New Roman"/>
        <w:b/>
        <w:bCs/>
        <w:szCs w:val="18"/>
      </w:rPr>
      <w:t>Sayısı    </w:t>
    </w:r>
    <w:r>
      <w:rPr>
        <w:rFonts w:ascii="Times New Roman" w:eastAsia="Times New Roman" w:hAnsi="Times New Roman" w:cs="Times New Roman"/>
        <w:b/>
        <w:bCs/>
        <w:szCs w:val="18"/>
      </w:rPr>
      <w:t xml:space="preserve"> </w:t>
    </w:r>
    <w:r w:rsidRPr="00EF7246">
      <w:rPr>
        <w:rFonts w:ascii="Times New Roman" w:eastAsia="Times New Roman" w:hAnsi="Times New Roman" w:cs="Times New Roman"/>
        <w:b/>
        <w:bCs/>
        <w:szCs w:val="18"/>
      </w:rPr>
      <w:t>: 2017</w:t>
    </w:r>
    <w:proofErr w:type="gramEnd"/>
    <w:r w:rsidRPr="00EF7246">
      <w:rPr>
        <w:rFonts w:ascii="Times New Roman" w:eastAsia="Times New Roman" w:hAnsi="Times New Roman" w:cs="Times New Roman"/>
        <w:b/>
        <w:bCs/>
        <w:szCs w:val="18"/>
      </w:rPr>
      <w:t>/34</w:t>
    </w:r>
  </w:p>
  <w:p w:rsidR="00166034" w:rsidRPr="00EF7246" w:rsidRDefault="00166034" w:rsidP="00166034">
    <w:pPr>
      <w:widowControl/>
      <w:shd w:val="clear" w:color="auto" w:fill="FFFFFF"/>
      <w:jc w:val="both"/>
      <w:rPr>
        <w:rFonts w:ascii="Times New Roman" w:eastAsia="Times New Roman" w:hAnsi="Times New Roman" w:cs="Times New Roman"/>
        <w:b/>
        <w:szCs w:val="18"/>
      </w:rPr>
    </w:pPr>
    <w:r w:rsidRPr="00EF7246">
      <w:rPr>
        <w:rFonts w:ascii="Times New Roman" w:eastAsia="Times New Roman" w:hAnsi="Times New Roman" w:cs="Times New Roman"/>
        <w:b/>
        <w:bCs/>
        <w:szCs w:val="18"/>
      </w:rPr>
      <w:t xml:space="preserve">Karar </w:t>
    </w:r>
    <w:proofErr w:type="gramStart"/>
    <w:r w:rsidRPr="00EF7246">
      <w:rPr>
        <w:rFonts w:ascii="Times New Roman" w:eastAsia="Times New Roman" w:hAnsi="Times New Roman" w:cs="Times New Roman"/>
        <w:b/>
        <w:bCs/>
        <w:szCs w:val="18"/>
      </w:rPr>
      <w:t>Sayısı </w:t>
    </w:r>
    <w:r>
      <w:rPr>
        <w:rFonts w:ascii="Times New Roman" w:eastAsia="Times New Roman" w:hAnsi="Times New Roman" w:cs="Times New Roman"/>
        <w:b/>
        <w:bCs/>
        <w:szCs w:val="18"/>
      </w:rPr>
      <w:t xml:space="preserve"> </w:t>
    </w:r>
    <w:r w:rsidRPr="00EF7246">
      <w:rPr>
        <w:rFonts w:ascii="Times New Roman" w:eastAsia="Times New Roman" w:hAnsi="Times New Roman" w:cs="Times New Roman"/>
        <w:b/>
        <w:bCs/>
        <w:szCs w:val="18"/>
      </w:rPr>
      <w:t>: 2017</w:t>
    </w:r>
    <w:proofErr w:type="gramEnd"/>
    <w:r w:rsidRPr="00EF7246">
      <w:rPr>
        <w:rFonts w:ascii="Times New Roman" w:eastAsia="Times New Roman" w:hAnsi="Times New Roman" w:cs="Times New Roman"/>
        <w:b/>
        <w:bCs/>
        <w:szCs w:val="18"/>
      </w:rPr>
      <w:t>/24 </w:t>
    </w:r>
  </w:p>
  <w:p w:rsidR="009829B8" w:rsidRPr="00166034" w:rsidRDefault="00FC0F63" w:rsidP="001660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34"/>
    <w:rsid w:val="00166034"/>
    <w:rsid w:val="001D02E4"/>
    <w:rsid w:val="00FC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8EB01-4A31-4CD1-83CD-EA33BE2E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603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166034"/>
    <w:rPr>
      <w:rFonts w:ascii="Times New Roman" w:eastAsia="Times New Roman" w:hAnsi="Times New Roman" w:cs="Times New Roman"/>
      <w:b/>
      <w:bCs/>
      <w:sz w:val="19"/>
      <w:szCs w:val="19"/>
      <w:shd w:val="clear" w:color="auto" w:fill="FFFFFF"/>
    </w:rPr>
  </w:style>
  <w:style w:type="character" w:customStyle="1" w:styleId="Gvdemetni4">
    <w:name w:val="Gövde metni (4)_"/>
    <w:basedOn w:val="VarsaylanParagrafYazTipi"/>
    <w:link w:val="Gvdemetni40"/>
    <w:rsid w:val="00166034"/>
    <w:rPr>
      <w:rFonts w:ascii="Times New Roman" w:eastAsia="Times New Roman" w:hAnsi="Times New Roman" w:cs="Times New Roman"/>
      <w:i/>
      <w:iCs/>
      <w:sz w:val="21"/>
      <w:szCs w:val="21"/>
      <w:shd w:val="clear" w:color="auto" w:fill="FFFFFF"/>
    </w:rPr>
  </w:style>
  <w:style w:type="character" w:customStyle="1" w:styleId="Gvdemetni">
    <w:name w:val="Gövde metni"/>
    <w:basedOn w:val="VarsaylanParagrafYazTipi"/>
    <w:rsid w:val="0016603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tr-TR"/>
    </w:rPr>
  </w:style>
  <w:style w:type="paragraph" w:customStyle="1" w:styleId="Gvdemetni30">
    <w:name w:val="Gövde metni (3)"/>
    <w:basedOn w:val="Normal"/>
    <w:link w:val="Gvdemetni3"/>
    <w:rsid w:val="00166034"/>
    <w:pPr>
      <w:shd w:val="clear" w:color="auto" w:fill="FFFFFF"/>
      <w:spacing w:after="60" w:line="0" w:lineRule="atLeast"/>
    </w:pPr>
    <w:rPr>
      <w:rFonts w:ascii="Times New Roman" w:eastAsia="Times New Roman" w:hAnsi="Times New Roman" w:cs="Times New Roman"/>
      <w:b/>
      <w:bCs/>
      <w:color w:val="auto"/>
      <w:sz w:val="19"/>
      <w:szCs w:val="19"/>
      <w:lang w:eastAsia="en-US"/>
    </w:rPr>
  </w:style>
  <w:style w:type="paragraph" w:customStyle="1" w:styleId="Gvdemetni40">
    <w:name w:val="Gövde metni (4)"/>
    <w:basedOn w:val="Normal"/>
    <w:link w:val="Gvdemetni4"/>
    <w:rsid w:val="00166034"/>
    <w:pPr>
      <w:shd w:val="clear" w:color="auto" w:fill="FFFFFF"/>
      <w:spacing w:after="60" w:line="0" w:lineRule="atLeast"/>
      <w:ind w:firstLine="720"/>
      <w:jc w:val="both"/>
    </w:pPr>
    <w:rPr>
      <w:rFonts w:ascii="Times New Roman" w:eastAsia="Times New Roman" w:hAnsi="Times New Roman" w:cs="Times New Roman"/>
      <w:i/>
      <w:iCs/>
      <w:color w:val="auto"/>
      <w:sz w:val="21"/>
      <w:szCs w:val="21"/>
      <w:lang w:eastAsia="en-US"/>
    </w:rPr>
  </w:style>
  <w:style w:type="paragraph" w:styleId="stbilgi">
    <w:name w:val="header"/>
    <w:basedOn w:val="Normal"/>
    <w:link w:val="stbilgiChar"/>
    <w:uiPriority w:val="99"/>
    <w:unhideWhenUsed/>
    <w:rsid w:val="00166034"/>
    <w:pPr>
      <w:tabs>
        <w:tab w:val="center" w:pos="4536"/>
        <w:tab w:val="right" w:pos="9072"/>
      </w:tabs>
    </w:pPr>
  </w:style>
  <w:style w:type="character" w:customStyle="1" w:styleId="stbilgiChar">
    <w:name w:val="Üstbilgi Char"/>
    <w:basedOn w:val="VarsaylanParagrafYazTipi"/>
    <w:link w:val="stbilgi"/>
    <w:uiPriority w:val="99"/>
    <w:rsid w:val="0016603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66034"/>
    <w:pPr>
      <w:tabs>
        <w:tab w:val="center" w:pos="4536"/>
        <w:tab w:val="right" w:pos="9072"/>
      </w:tabs>
    </w:pPr>
  </w:style>
  <w:style w:type="character" w:customStyle="1" w:styleId="AltbilgiChar">
    <w:name w:val="Altbilgi Char"/>
    <w:basedOn w:val="VarsaylanParagrafYazTipi"/>
    <w:link w:val="Altbilgi"/>
    <w:uiPriority w:val="99"/>
    <w:rsid w:val="0016603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6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2019-04-08T07:54:00Z</dcterms:created>
  <dcterms:modified xsi:type="dcterms:W3CDTF">2019-04-08T07:57:00Z</dcterms:modified>
</cp:coreProperties>
</file>