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21D" w:rsidRPr="000F321D" w:rsidRDefault="000F321D" w:rsidP="000F321D">
      <w:pPr>
        <w:pStyle w:val="Gvdemetni0"/>
        <w:widowControl/>
        <w:shd w:val="clear" w:color="auto" w:fill="auto"/>
        <w:tabs>
          <w:tab w:val="left" w:pos="1134"/>
        </w:tabs>
        <w:spacing w:before="100" w:beforeAutospacing="1" w:after="100" w:afterAutospacing="1" w:line="240" w:lineRule="auto"/>
        <w:ind w:firstLine="709"/>
        <w:jc w:val="both"/>
        <w:rPr>
          <w:sz w:val="24"/>
          <w:szCs w:val="26"/>
        </w:rPr>
      </w:pPr>
      <w:proofErr w:type="gramStart"/>
      <w:r w:rsidRPr="000F321D">
        <w:rPr>
          <w:sz w:val="24"/>
          <w:szCs w:val="26"/>
        </w:rPr>
        <w:t>“Somut olayda uygulanacak norm olan 2863 sayılı Kanunun 65/1. maddesinin anayasaya aykırı olduğuna zira sanıkların mülkiyet haklarının Anayasanın 35. maddesine aykırı olarak sınırlandığına ve bu sınırlamanın kamu yararını sağlamadığına, iş bu dosyada sanıkların iddianame ile üzerlerine atılı eylemlerin mahkememizin 2015/96 esas sayılı dosyası sanıklarının üzerlerine atılı eylemlerle benzeştiğine, mahkememiz 2015/96 esas sayılı dosyasında 2863 sayılı Kanunun 65/1 maddesinin Anayasaya aykırılığına ilişkin gösterilen sebeplerin iş bu dosyada da cari olduğuna kanaat getirilmiştir.</w:t>
      </w:r>
      <w:proofErr w:type="gramEnd"/>
    </w:p>
    <w:p w:rsidR="000F321D" w:rsidRPr="000F321D" w:rsidRDefault="000F321D" w:rsidP="000F321D">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0F321D">
        <w:rPr>
          <w:sz w:val="24"/>
          <w:szCs w:val="26"/>
        </w:rPr>
        <w:t>Dosya incelendi.</w:t>
      </w:r>
      <w:bookmarkStart w:id="0" w:name="_GoBack"/>
      <w:bookmarkEnd w:id="0"/>
    </w:p>
    <w:p w:rsidR="000F321D" w:rsidRPr="000F321D" w:rsidRDefault="000F321D" w:rsidP="000F321D">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3"/>
          <w:rFonts w:eastAsia="Courier New"/>
          <w:b w:val="0"/>
          <w:bCs w:val="0"/>
          <w:sz w:val="24"/>
          <w:szCs w:val="26"/>
          <w:u w:val="none"/>
        </w:rPr>
        <w:t xml:space="preserve"> </w:t>
      </w:r>
      <w:r w:rsidRPr="000F321D">
        <w:rPr>
          <w:rStyle w:val="Gvdemetni3"/>
          <w:rFonts w:eastAsia="Courier New"/>
          <w:b w:val="0"/>
          <w:bCs w:val="0"/>
          <w:sz w:val="24"/>
          <w:szCs w:val="26"/>
          <w:u w:val="none"/>
        </w:rPr>
        <w:t>GEREĞİ DÜŞÜNÜLDÜ:</w:t>
      </w:r>
    </w:p>
    <w:p w:rsidR="000F321D" w:rsidRPr="000F321D" w:rsidRDefault="000F321D" w:rsidP="000F321D">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proofErr w:type="gramStart"/>
      <w:r w:rsidRPr="000F321D">
        <w:rPr>
          <w:sz w:val="24"/>
          <w:szCs w:val="26"/>
        </w:rPr>
        <w:t xml:space="preserve">Yukarıda açıklanan sebeplerle Anayasanın 152. maddesi uyarınca somut olayda uygulanacak olan 2863 sayılı Kanunun 65/1 maddesinin Anayasaya aykırı olduğuna kanaat getirildiğinden somut norm denetimi kapsamında incelenmesi için dosyanın Anayasa Mahkemesine gönderilmesine, (iş bu dosya için yapılan başvurunun mahkememizin 2015/96 esas sayılı başvuru ile birleştirilmek suretiyle incelenmesinde yarar bulunulduğuna mahkememizce kanaat getirildiğinden Sayın Başkanlığınızca bu hususun nazara alınmasına) karar verildi.” </w:t>
      </w:r>
      <w:proofErr w:type="gramEnd"/>
    </w:p>
    <w:p w:rsidR="000F321D" w:rsidRPr="000F321D" w:rsidRDefault="000F321D" w:rsidP="000F321D">
      <w:pPr>
        <w:pStyle w:val="Gvdemetni0"/>
        <w:widowControl/>
        <w:shd w:val="clear" w:color="auto" w:fill="auto"/>
        <w:tabs>
          <w:tab w:val="left" w:pos="1134"/>
        </w:tabs>
        <w:spacing w:before="100" w:beforeAutospacing="1" w:after="100" w:afterAutospacing="1" w:line="240" w:lineRule="auto"/>
        <w:ind w:firstLine="709"/>
        <w:jc w:val="both"/>
        <w:rPr>
          <w:sz w:val="24"/>
          <w:szCs w:val="26"/>
        </w:rPr>
      </w:pPr>
    </w:p>
    <w:p w:rsidR="001D02E4" w:rsidRPr="000F321D" w:rsidRDefault="001D02E4" w:rsidP="000F321D">
      <w:pPr>
        <w:widowControl/>
        <w:spacing w:before="100" w:beforeAutospacing="1" w:after="100" w:afterAutospacing="1"/>
        <w:ind w:firstLine="709"/>
        <w:jc w:val="both"/>
        <w:rPr>
          <w:rFonts w:ascii="Times New Roman" w:hAnsi="Times New Roman" w:cs="Times New Roman"/>
        </w:rPr>
      </w:pPr>
    </w:p>
    <w:sectPr w:rsidR="001D02E4" w:rsidRPr="000F321D" w:rsidSect="000F321D">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01B" w:rsidRDefault="007A301B" w:rsidP="000F321D">
      <w:r>
        <w:separator/>
      </w:r>
    </w:p>
  </w:endnote>
  <w:endnote w:type="continuationSeparator" w:id="0">
    <w:p w:rsidR="007A301B" w:rsidRDefault="007A301B" w:rsidP="000F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21D" w:rsidRDefault="000F321D" w:rsidP="00D4204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04169" w:rsidRDefault="007A301B" w:rsidP="000F321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21D" w:rsidRPr="000F321D" w:rsidRDefault="000F321D" w:rsidP="00D42045">
    <w:pPr>
      <w:pStyle w:val="Altbilgi"/>
      <w:framePr w:wrap="around" w:vAnchor="text" w:hAnchor="margin" w:xAlign="right" w:y="1"/>
      <w:rPr>
        <w:rStyle w:val="SayfaNumaras"/>
        <w:rFonts w:ascii="Times New Roman" w:hAnsi="Times New Roman" w:cs="Times New Roman"/>
      </w:rPr>
    </w:pPr>
    <w:r w:rsidRPr="000F321D">
      <w:rPr>
        <w:rStyle w:val="SayfaNumaras"/>
        <w:rFonts w:ascii="Times New Roman" w:hAnsi="Times New Roman" w:cs="Times New Roman"/>
      </w:rPr>
      <w:fldChar w:fldCharType="begin"/>
    </w:r>
    <w:r w:rsidRPr="000F321D">
      <w:rPr>
        <w:rStyle w:val="SayfaNumaras"/>
        <w:rFonts w:ascii="Times New Roman" w:hAnsi="Times New Roman" w:cs="Times New Roman"/>
      </w:rPr>
      <w:instrText xml:space="preserve">PAGE  </w:instrText>
    </w:r>
    <w:r w:rsidRPr="000F321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F321D">
      <w:rPr>
        <w:rStyle w:val="SayfaNumaras"/>
        <w:rFonts w:ascii="Times New Roman" w:hAnsi="Times New Roman" w:cs="Times New Roman"/>
      </w:rPr>
      <w:fldChar w:fldCharType="end"/>
    </w:r>
  </w:p>
  <w:p w:rsidR="00204169" w:rsidRPr="000F321D" w:rsidRDefault="007A301B" w:rsidP="000F321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01B" w:rsidRDefault="007A301B" w:rsidP="000F321D">
      <w:r>
        <w:separator/>
      </w:r>
    </w:p>
  </w:footnote>
  <w:footnote w:type="continuationSeparator" w:id="0">
    <w:p w:rsidR="007A301B" w:rsidRDefault="007A301B" w:rsidP="000F3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21D" w:rsidRPr="00F4677C" w:rsidRDefault="000F321D" w:rsidP="000F321D">
    <w:pPr>
      <w:widowControl/>
      <w:jc w:val="both"/>
      <w:rPr>
        <w:rFonts w:ascii="Times New Roman" w:eastAsia="Times New Roman" w:hAnsi="Times New Roman" w:cs="Times New Roman"/>
        <w:b/>
        <w:szCs w:val="18"/>
      </w:rPr>
    </w:pPr>
    <w:r w:rsidRPr="00F4677C">
      <w:rPr>
        <w:rFonts w:ascii="Times New Roman" w:eastAsia="Times New Roman" w:hAnsi="Times New Roman" w:cs="Times New Roman"/>
        <w:b/>
        <w:bCs/>
        <w:szCs w:val="18"/>
      </w:rPr>
      <w:t xml:space="preserve">Esas </w:t>
    </w:r>
    <w:proofErr w:type="gramStart"/>
    <w:r w:rsidRPr="00F4677C">
      <w:rPr>
        <w:rFonts w:ascii="Times New Roman" w:eastAsia="Times New Roman" w:hAnsi="Times New Roman" w:cs="Times New Roman"/>
        <w:b/>
        <w:bCs/>
        <w:szCs w:val="18"/>
      </w:rPr>
      <w:t xml:space="preserve">Sayısı    </w:t>
    </w:r>
    <w:r>
      <w:rPr>
        <w:rFonts w:ascii="Times New Roman" w:eastAsia="Times New Roman" w:hAnsi="Times New Roman" w:cs="Times New Roman"/>
        <w:b/>
        <w:bCs/>
        <w:szCs w:val="18"/>
      </w:rPr>
      <w:t xml:space="preserve"> </w:t>
    </w:r>
    <w:r w:rsidRPr="00F4677C">
      <w:rPr>
        <w:rFonts w:ascii="Times New Roman" w:eastAsia="Times New Roman" w:hAnsi="Times New Roman" w:cs="Times New Roman"/>
        <w:b/>
        <w:bCs/>
        <w:szCs w:val="18"/>
      </w:rPr>
      <w:t>: 2017</w:t>
    </w:r>
    <w:proofErr w:type="gramEnd"/>
    <w:r w:rsidRPr="00F4677C">
      <w:rPr>
        <w:rFonts w:ascii="Times New Roman" w:eastAsia="Times New Roman" w:hAnsi="Times New Roman" w:cs="Times New Roman"/>
        <w:b/>
        <w:bCs/>
        <w:szCs w:val="18"/>
      </w:rPr>
      <w:t>/149</w:t>
    </w:r>
  </w:p>
  <w:p w:rsidR="000F321D" w:rsidRPr="00F4677C" w:rsidRDefault="000F321D" w:rsidP="000F321D">
    <w:pPr>
      <w:widowControl/>
      <w:jc w:val="both"/>
      <w:rPr>
        <w:rFonts w:ascii="Times New Roman" w:eastAsia="Times New Roman" w:hAnsi="Times New Roman" w:cs="Times New Roman"/>
        <w:b/>
        <w:szCs w:val="18"/>
      </w:rPr>
    </w:pPr>
    <w:r w:rsidRPr="00F4677C">
      <w:rPr>
        <w:rFonts w:ascii="Times New Roman" w:eastAsia="Times New Roman" w:hAnsi="Times New Roman" w:cs="Times New Roman"/>
        <w:b/>
        <w:bCs/>
        <w:szCs w:val="18"/>
      </w:rPr>
      <w:t xml:space="preserve">Karar </w:t>
    </w:r>
    <w:proofErr w:type="gramStart"/>
    <w:r w:rsidRPr="00F4677C">
      <w:rPr>
        <w:rFonts w:ascii="Times New Roman" w:eastAsia="Times New Roman" w:hAnsi="Times New Roman" w:cs="Times New Roman"/>
        <w:b/>
        <w:bCs/>
        <w:szCs w:val="18"/>
      </w:rPr>
      <w:t xml:space="preserve">Sayısı </w:t>
    </w:r>
    <w:r>
      <w:rPr>
        <w:rFonts w:ascii="Times New Roman" w:eastAsia="Times New Roman" w:hAnsi="Times New Roman" w:cs="Times New Roman"/>
        <w:b/>
        <w:bCs/>
        <w:szCs w:val="18"/>
      </w:rPr>
      <w:t xml:space="preserve"> </w:t>
    </w:r>
    <w:r w:rsidRPr="00F4677C">
      <w:rPr>
        <w:rFonts w:ascii="Times New Roman" w:eastAsia="Times New Roman" w:hAnsi="Times New Roman" w:cs="Times New Roman"/>
        <w:b/>
        <w:bCs/>
        <w:szCs w:val="18"/>
      </w:rPr>
      <w:t>: 2017</w:t>
    </w:r>
    <w:proofErr w:type="gramEnd"/>
    <w:r w:rsidRPr="00F4677C">
      <w:rPr>
        <w:rFonts w:ascii="Times New Roman" w:eastAsia="Times New Roman" w:hAnsi="Times New Roman" w:cs="Times New Roman"/>
        <w:b/>
        <w:bCs/>
        <w:szCs w:val="18"/>
      </w:rPr>
      <w:t>/128</w:t>
    </w:r>
  </w:p>
  <w:p w:rsidR="00E21E96" w:rsidRPr="000F321D" w:rsidRDefault="007A301B" w:rsidP="000F321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21D"/>
    <w:rsid w:val="000F321D"/>
    <w:rsid w:val="001D02E4"/>
    <w:rsid w:val="007A30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712AD-9605-4A38-87FE-BE83FC05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321D"/>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0F321D"/>
    <w:rPr>
      <w:rFonts w:ascii="Times New Roman" w:eastAsia="Times New Roman" w:hAnsi="Times New Roman" w:cs="Times New Roman"/>
      <w:sz w:val="20"/>
      <w:szCs w:val="20"/>
      <w:shd w:val="clear" w:color="auto" w:fill="FFFFFF"/>
    </w:rPr>
  </w:style>
  <w:style w:type="character" w:customStyle="1" w:styleId="Gvdemetni3">
    <w:name w:val="Gövde metni (3)"/>
    <w:basedOn w:val="VarsaylanParagrafYazTipi"/>
    <w:rsid w:val="000F321D"/>
    <w:rPr>
      <w:rFonts w:ascii="Times New Roman" w:eastAsia="Times New Roman" w:hAnsi="Times New Roman" w:cs="Times New Roman"/>
      <w:b/>
      <w:bCs/>
      <w:i w:val="0"/>
      <w:iCs w:val="0"/>
      <w:smallCaps w:val="0"/>
      <w:strike w:val="0"/>
      <w:color w:val="000000"/>
      <w:spacing w:val="0"/>
      <w:w w:val="100"/>
      <w:position w:val="0"/>
      <w:sz w:val="22"/>
      <w:szCs w:val="22"/>
      <w:u w:val="single"/>
      <w:lang w:val="tr-TR"/>
    </w:rPr>
  </w:style>
  <w:style w:type="paragraph" w:customStyle="1" w:styleId="Gvdemetni0">
    <w:name w:val="Gövde metni"/>
    <w:basedOn w:val="Normal"/>
    <w:link w:val="Gvdemetni"/>
    <w:rsid w:val="000F321D"/>
    <w:pPr>
      <w:shd w:val="clear" w:color="auto" w:fill="FFFFFF"/>
      <w:spacing w:after="120" w:line="0" w:lineRule="atLeast"/>
    </w:pPr>
    <w:rPr>
      <w:rFonts w:ascii="Times New Roman" w:eastAsia="Times New Roman" w:hAnsi="Times New Roman" w:cs="Times New Roman"/>
      <w:color w:val="auto"/>
      <w:sz w:val="20"/>
      <w:szCs w:val="20"/>
      <w:lang w:eastAsia="en-US"/>
    </w:rPr>
  </w:style>
  <w:style w:type="paragraph" w:styleId="stbilgi">
    <w:name w:val="header"/>
    <w:basedOn w:val="Normal"/>
    <w:link w:val="stbilgiChar"/>
    <w:uiPriority w:val="99"/>
    <w:unhideWhenUsed/>
    <w:rsid w:val="000F321D"/>
    <w:pPr>
      <w:tabs>
        <w:tab w:val="center" w:pos="4536"/>
        <w:tab w:val="right" w:pos="9072"/>
      </w:tabs>
    </w:pPr>
  </w:style>
  <w:style w:type="character" w:customStyle="1" w:styleId="stbilgiChar">
    <w:name w:val="Üstbilgi Char"/>
    <w:basedOn w:val="VarsaylanParagrafYazTipi"/>
    <w:link w:val="stbilgi"/>
    <w:uiPriority w:val="99"/>
    <w:rsid w:val="000F321D"/>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0F321D"/>
    <w:pPr>
      <w:tabs>
        <w:tab w:val="center" w:pos="4536"/>
        <w:tab w:val="right" w:pos="9072"/>
      </w:tabs>
    </w:pPr>
  </w:style>
  <w:style w:type="character" w:customStyle="1" w:styleId="AltbilgiChar">
    <w:name w:val="Altbilgi Char"/>
    <w:basedOn w:val="VarsaylanParagrafYazTipi"/>
    <w:link w:val="Altbilgi"/>
    <w:uiPriority w:val="99"/>
    <w:rsid w:val="000F321D"/>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0F3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2019-03-21T06:52:00Z</dcterms:created>
  <dcterms:modified xsi:type="dcterms:W3CDTF">2019-03-21T06:53:00Z</dcterms:modified>
</cp:coreProperties>
</file>