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bookmarkStart w:id="0" w:name="_GoBack"/>
      <w:bookmarkEnd w:id="0"/>
      <w:r w:rsidRPr="008B1E3C">
        <w:rPr>
          <w:sz w:val="24"/>
          <w:szCs w:val="26"/>
        </w:rPr>
        <w:t xml:space="preserve"> </w:t>
      </w:r>
      <w:r w:rsidRPr="008B1E3C">
        <w:rPr>
          <w:sz w:val="24"/>
          <w:szCs w:val="26"/>
        </w:rPr>
        <w:t>“Davacı vekili 25/04/2017 havale tarihli dilekçesi ile müvekkilden haksız olarak tahsil edildiği gerekçesiyle taraflarınca vekâleten, davalı Aydem Elek. Dağıtım - Perakende Satış A.Ş. ve Tedaş şirketine karşı kayıp/kaçak bedellerinin iadesine yönelik istirdat davası açıldığını, ancak uyuşmazlık konusunda uygulanacak hukuk kuralları 17/06/2016 tarihli Resmi Gazete’de yayımlanan 6446 sayılı Elektrik Piyasası Kanunu’nun muhtelif maddelerinde değişiklik ve bu Kanuna eklemeler getiren 6719 sayılı Elektrik Piyasası Kanunu ile Bazı Kanunlarda Değişiklik yapılmasına Dair Kanun ile birlikte değişiklik gösterdiğini, 6719 sayılı kanun m.21/10 ve m.26/(Geçici Madde 20) anayasaya aykırı olduğunu, zira m.21/10 ile yargı makamının hukukilik denetimi yolu kapatıldığını, yerindelik denetimi yapılmasına imkân tanınmadığını, ancak yargı organının yerindelik denetimi yapmasının fonksiyon gaspı olacağını, Anayasa m.l25/4’e göre; “Yargı yetkisi, idari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 hükmünün bulunduğunu, Kanunun 26. maddesi ile yürürlüğe giren ve geriye dönük olarak açılan icra takiplerini, davaları ve başvurulan olumsuz etkilemesi amaçlanan geçici 20. maddede, “aleyhe geriye yürümezlik” kuralını ihlal ettiği için hukuka ve Anayasaya aykırı görülebileceğini, hukuki öngörülebilirlik ve bilinirlik gereğince yasal yola başvuran ve hakkını mahkemede arayan tüketicinin; Kanunun olumsuz etkisinin geriye dönük tatbiki ile hak arama hürriyetine ciddi şekilde kısıtlama getirildiğini, enerji dağıtım şirketlerinin kendisinden yaptığı haksız tahsilatları faizi ile iade alabilmesinin önünün kapatıldığını, bu kısıtlamanın, hem 6719 sayılı Kanununun 21. maddesinde ve hem de geriye dönük olarak bu madde ile 6446 sayılı Kanunun 17. maddesine eklenen hükmün uygulanacağını öngören 26. maddede net olarak kendisini gösterdiğini, 6446 sayılı Kanunun 17. maddesine 10. fıkra olarak eklenen hükümde yer alan “mahkemelerin yetkisi, bu bedellerin, Kurumun düzenleyici işlemlerine uygunluğunun denetimi ile sınırlıdır.” ibaresinin, yargı yetkisine kısıtlama getirdiğini ve tüketicinin haklarını kaybetme tehlikesi ile karşı karşıya kalmasına yol açtığını, Anayasa m.36’nın güvencesi altında olan hak arama hürriyeti de, 6719 sayılı Kanunun 21. ve 26. maddeleri ile engellendiğini, bu durumun “hukuk devleti” ilkesini güvence altına alan Anayasa m.2 ve hak arama hürriyetini koruyan Anayasa m.36/re aykırı olduğunu, Ayrıca; yargı yetkisinin bu şekilde kısıtlanmasının , “kuvvetler ayrılığı” ilkesine de haksız bir müdahale niteliği taşıdığını, bir anlamda “Yargı yetkisi” başlıklı Anayasa m.9’e aykırılığı gündeme getirdiğini, bu nedenlerle 17/06/2016 tarihli Resmi Gazete’de yayımlanan 6446 sayılı Elektrik Piyasası Kanunu’nun muhtelif maddelerinde değişiklik ve bu Kanuna eklemeler getiren 6719 sayılı Elektrik Piyasası Kanunu ile Bazı Kanunlarda Değişiklik Yapılmasına Dair Kanun’un 21. ve 26. maddeleri Anayasa 2, 13, 36, 40 ve 125. maddelerine açıkça ay kın olduğundan anayasaya olduğundan anayasaya aykırılık iddialarının değerlendirilmesi için dosyanın Anayasa Mahkemesi’ne gönderilmesini ve davanın geriye bırakılmasına karar verilmesini talep etmiştir.</w:t>
      </w:r>
    </w:p>
    <w:p w:rsidR="008B1E3C" w:rsidRPr="008B1E3C" w:rsidRDefault="008B1E3C" w:rsidP="008B1E3C">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8B1E3C">
        <w:rPr>
          <w:rStyle w:val="Gvdemetni7105pttalikdeil"/>
          <w:sz w:val="24"/>
          <w:szCs w:val="26"/>
        </w:rPr>
        <w:t xml:space="preserve"> </w:t>
      </w:r>
      <w:r w:rsidRPr="008B1E3C">
        <w:rPr>
          <w:rStyle w:val="Gvdemetni7105pttalikdeil"/>
          <w:sz w:val="24"/>
          <w:szCs w:val="26"/>
        </w:rPr>
        <w:t xml:space="preserve">Anayasa Mahkemesi Başkanlığı’nın Esas Sayısı: 2010/7, Karar Sayısı: 2011/172, Karar Günü: 22.12.2011 olan kararında da belirtildiği üzere: </w:t>
      </w:r>
      <w:r w:rsidRPr="008B1E3C">
        <w:rPr>
          <w:i w:val="0"/>
          <w:sz w:val="24"/>
          <w:szCs w:val="26"/>
        </w:rPr>
        <w:t>Kişilere hukuk güvenliğinin sağlanması</w:t>
      </w:r>
      <w:r w:rsidRPr="008B1E3C">
        <w:rPr>
          <w:rStyle w:val="Gvdemetni7105pttalikdeil"/>
          <w:sz w:val="24"/>
          <w:szCs w:val="26"/>
        </w:rPr>
        <w:t xml:space="preserve">, </w:t>
      </w:r>
      <w:r w:rsidRPr="008B1E3C">
        <w:rPr>
          <w:i w:val="0"/>
          <w:sz w:val="24"/>
          <w:szCs w:val="26"/>
        </w:rPr>
        <w:t>Anayasalın 2. maddesinde belirtilen hukuk devletinin ön koşullarındandır. Hukuk devleti</w:t>
      </w:r>
      <w:r w:rsidRPr="008B1E3C">
        <w:rPr>
          <w:rStyle w:val="Gvdemetni7105pttalikdeil"/>
          <w:sz w:val="24"/>
          <w:szCs w:val="26"/>
        </w:rPr>
        <w:t xml:space="preserve">, </w:t>
      </w:r>
      <w:r w:rsidRPr="008B1E3C">
        <w:rPr>
          <w:i w:val="0"/>
          <w:sz w:val="24"/>
          <w:szCs w:val="26"/>
        </w:rPr>
        <w:t>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8B1E3C" w:rsidRPr="008B1E3C" w:rsidRDefault="008B1E3C" w:rsidP="008B1E3C">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8B1E3C">
        <w:rPr>
          <w:i w:val="0"/>
          <w:sz w:val="24"/>
          <w:szCs w:val="26"/>
        </w:rPr>
        <w:lastRenderedPageBreak/>
        <w:t xml:space="preserve"> </w:t>
      </w:r>
      <w:r w:rsidRPr="008B1E3C">
        <w:rPr>
          <w:i w:val="0"/>
          <w:sz w:val="24"/>
          <w:szCs w:val="26"/>
        </w:rPr>
        <w:t>Hukuk devletinin gereği olan hukuk güvenliğini sağlama yükümlülüğü, kural olarak yasaların geriye yürütülme meşini gerekli kılar.</w:t>
      </w:r>
      <w:r w:rsidRPr="008B1E3C">
        <w:rPr>
          <w:rStyle w:val="Gvdemetni7105pttalikdeil"/>
          <w:sz w:val="24"/>
          <w:szCs w:val="26"/>
        </w:rPr>
        <w:t xml:space="preserve"> </w:t>
      </w:r>
      <w:r w:rsidRPr="008B1E3C">
        <w:rPr>
          <w:i w:val="0"/>
          <w:sz w:val="24"/>
          <w:szCs w:val="26"/>
        </w:rPr>
        <w:t>“Yasaların geriye yürümezliği ilkesi uyarınca yasalar, kamu yararı ve kamu düzeninin gerektirdiği, kazanılmış hakların korunması, mali haklarda iyileştirme gibi kimi ayrıksı durumlar dışında ilke olarak yürürlük tarihlerinden sonraki olay</w:t>
      </w:r>
      <w:r w:rsidRPr="008B1E3C">
        <w:rPr>
          <w:rStyle w:val="Gvdemetni7105pttalikdeil"/>
          <w:sz w:val="24"/>
          <w:szCs w:val="26"/>
        </w:rPr>
        <w:t xml:space="preserve">, </w:t>
      </w:r>
      <w:r w:rsidRPr="008B1E3C">
        <w:rPr>
          <w:i w:val="0"/>
          <w:sz w:val="24"/>
          <w:szCs w:val="26"/>
        </w:rPr>
        <w:t>işlem ve eylemlere uygulanmak üzere çıkarılırlar. Yürürlüğe giren yasaların geçmişe ve kesin nitelik kazanmış hukuksal durumlara etkili olmaması ~ hukuklu^ genel ilkelerindendir.</w:t>
      </w:r>
      <w:r w:rsidRPr="008B1E3C">
        <w:rPr>
          <w:i w:val="0"/>
          <w:sz w:val="24"/>
          <w:szCs w:val="26"/>
        </w:rPr>
        <w:t xml:space="preserve"> </w:t>
      </w:r>
    </w:p>
    <w:p w:rsidR="008B1E3C" w:rsidRPr="008B1E3C" w:rsidRDefault="008B1E3C" w:rsidP="008B1E3C">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8B1E3C">
        <w:rPr>
          <w:i w:val="0"/>
          <w:sz w:val="24"/>
          <w:szCs w:val="26"/>
        </w:rPr>
        <w:t xml:space="preserve"> </w:t>
      </w:r>
      <w:r w:rsidRPr="008B1E3C">
        <w:rPr>
          <w:i w:val="0"/>
          <w:sz w:val="24"/>
          <w:szCs w:val="26"/>
        </w:rPr>
        <w:t xml:space="preserve">Öte yandan, hukuk devletinin hukuk güvenliği ilkesi belirliliği de gerektirir. Belirlilik ilkesi, yükümlülüğün hem kişiler hem de idare yönünden belli ve kesin olmasını, </w:t>
      </w:r>
      <w:r w:rsidRPr="008B1E3C">
        <w:rPr>
          <w:rStyle w:val="Gvdemetni7-1ptbolukbraklyor"/>
          <w:sz w:val="24"/>
          <w:szCs w:val="26"/>
        </w:rPr>
        <w:t xml:space="preserve">yasa </w:t>
      </w:r>
      <w:r w:rsidRPr="008B1E3C">
        <w:rPr>
          <w:i w:val="0"/>
          <w:sz w:val="24"/>
          <w:szCs w:val="26"/>
        </w:rPr>
        <w:t>kuralının, ilgili kişilerin mevcut şartlar altında belirli bir işlemin ne tür sonuçlar doğurabileceğini makul bir düzeyde öngörmelerini mümkün kılacak şekilde düzenlenmesini gerekli kılar.</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 xml:space="preserve">Davacı vekilinin ileri sürdüğü Anayasa’ya aykırılık iddiası, Kanunun 26. maddesi ile yürürlüğe giren ve geriye dönük olarak açılan icra takiplerini, davaları ve başvuruları etkilemesi amaçlanan </w:t>
      </w:r>
      <w:r w:rsidRPr="008B1E3C">
        <w:rPr>
          <w:rStyle w:val="GvdemetniKaln"/>
          <w:b w:val="0"/>
          <w:sz w:val="24"/>
          <w:szCs w:val="26"/>
        </w:rPr>
        <w:t xml:space="preserve">geçici 20. madde, “aleyhe geriye yürümezlik” EVRENSEL HUKUK GENEL KURALINI ihlal ettiği </w:t>
      </w:r>
      <w:r w:rsidRPr="008B1E3C">
        <w:rPr>
          <w:sz w:val="24"/>
          <w:szCs w:val="26"/>
        </w:rPr>
        <w:t>için Anayasaya aykırı olduğu,</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1982 Anayasasının:</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Türkiye Cumhuriyetinin bir hukuk devleti olduğunu düzenleyen 2.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Sosyal hukuk devleti olduğunu düzenleyen 5.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Yargı yetkisinin, Türk Milleti adına bağımsız mahkemelerce kullanıldığını düzenleyen 9.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Hiçbir kişiye, aileye, zümreye veya sınıfa imtiyaz tanı nam ayacağı ve Devlet organları ve idare makamlarının bütün işlemlerinde kanun önünde eşitlik ilkesine uygun olarak hareket etmek zorunda olduğunu düzenleyen 10.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Kanunların Anayasaya aykırı olamayacağına ilişkin 11.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Herkesin, meşru vasıta ve yollardan faydalanmak suretiyle yargı mercileri önünde davacı veya davalı olarak iddia ve savunma ile adil yargılanma hakkına sahip olduğu ve Hiçbir mahkemenin, görev ve yetkisi içindeki davaya bakmaktan kaçınamayacağını düzenleyen 36.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Anayasa ile tanınmış hak ve hürriyetleri ihlal edilen herkesin, yetkili makama geciktirilmeden başvurma imkanının sağlanmasını isteme hakkına sahip olduğunu düzenleyen 40. maddesine,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aykırı olduğu kanısına varıldığından aşağıdaki hükmün tesisi gerekmiştir.</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rStyle w:val="GvdemetniKaln"/>
          <w:b w:val="0"/>
          <w:sz w:val="24"/>
          <w:szCs w:val="26"/>
        </w:rPr>
        <w:t xml:space="preserve"> </w:t>
      </w:r>
      <w:r w:rsidRPr="008B1E3C">
        <w:rPr>
          <w:rStyle w:val="GvdemetniKaln"/>
          <w:b w:val="0"/>
          <w:sz w:val="24"/>
          <w:szCs w:val="26"/>
        </w:rPr>
        <w:t>ARA KARAR</w:t>
      </w:r>
      <w:r w:rsidRPr="008B1E3C">
        <w:rPr>
          <w:sz w:val="24"/>
          <w:szCs w:val="26"/>
        </w:rPr>
        <w:t>: Yukarıda açıklanan nedenlerle;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 xml:space="preserve">17/06/2016 tarihli Resmi Gazete’de yayımlanan 6446 sayılı Elektrik Piyasası Kanunu’nun muhtelif maddelerinde değişiklik ve bu Kanuna eklemeler getiren 6719 sayılı Elektrik Piyasası Kanunu ile Bazı Kanunlarda Değişiklik Yapılmasına Dair Kanun’un 21. ve 26. maddelerinin Türkiye Cumhuriyet Anayasasının 2, 5, 9, 10, 11, 36 ve 40 maddelerine aykırı </w:t>
      </w:r>
      <w:r w:rsidRPr="008B1E3C">
        <w:rPr>
          <w:sz w:val="24"/>
          <w:szCs w:val="26"/>
        </w:rPr>
        <w:lastRenderedPageBreak/>
        <w:t xml:space="preserve">olduğu iddiasının ciddi olduğu kanaatine varılmakla, 6216 sayılı Anayasa Mahkemesinin Kuruluşu ve Yargılama Usulleri Hakkındaki Kanunun 40/1. maddesi gereğince; mahkememiz dosyadaki belgelerin onaylı birer örneği çıkartılarak, 6719 sayılı Kanunun 21/10. ve 26. maddesinin </w:t>
      </w:r>
      <w:r w:rsidRPr="008B1E3C">
        <w:rPr>
          <w:rStyle w:val="GvdemetniKaln"/>
          <w:b w:val="0"/>
          <w:sz w:val="24"/>
          <w:szCs w:val="26"/>
        </w:rPr>
        <w:t>Anayasaya aykırı olduğu kanaatiyle iptal davası başvurusu olarak, Anayasa Mahkemesi Genel Sekreterliği’ne GÖNDERİLMESİNE,</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Türkiye Cumhuriyeti Anayasasının 152. maddesi ve 6216 sayılı Anayasa Mahkemesinin Kuruluşu ve Yargılama Usulleri Hakkındaki Kanunun 40/5. maddesi uyarınca başvurunun sonuçlanmasının bekletici mesele yapılmasına,</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6216 sayılı Yasanın 40/5. maddesi gereğince 5 aylık azami süre gözetilerek, Anayasa Mahkemesi’nin bu konuda bir karar vermesinin beklenilmesine, bu süre içerisinde ve sonunda Anayasa Mahkemesince bir karar verilmez ise Türkiye Cumhuriyeti Anayasasının 153. ve 6216 sayılı Yasanın 40/5. maddesi gereğince yürürlükteki mevzuat hükümlerine göre değerlendirme yapılmasına,</w:t>
      </w:r>
    </w:p>
    <w:p w:rsidR="008B1E3C" w:rsidRPr="008B1E3C" w:rsidRDefault="008B1E3C" w:rsidP="008B1E3C">
      <w:pPr>
        <w:pStyle w:val="Gvdemetni0"/>
        <w:widowControl/>
        <w:shd w:val="clear" w:color="auto" w:fill="auto"/>
        <w:tabs>
          <w:tab w:val="left" w:pos="1134"/>
        </w:tabs>
        <w:spacing w:before="100" w:beforeAutospacing="1" w:after="100" w:afterAutospacing="1" w:line="240" w:lineRule="auto"/>
        <w:ind w:firstLine="709"/>
        <w:rPr>
          <w:sz w:val="24"/>
          <w:szCs w:val="26"/>
        </w:rPr>
      </w:pPr>
      <w:r w:rsidRPr="008B1E3C">
        <w:rPr>
          <w:sz w:val="24"/>
          <w:szCs w:val="26"/>
        </w:rPr>
        <w:t xml:space="preserve"> </w:t>
      </w:r>
      <w:r w:rsidRPr="008B1E3C">
        <w:rPr>
          <w:sz w:val="24"/>
          <w:szCs w:val="26"/>
        </w:rPr>
        <w:t xml:space="preserve">karar verildi.” </w:t>
      </w:r>
    </w:p>
    <w:p w:rsidR="001D02E4" w:rsidRPr="008B1E3C" w:rsidRDefault="001D02E4" w:rsidP="008B1E3C">
      <w:pPr>
        <w:widowControl/>
        <w:spacing w:before="100" w:beforeAutospacing="1" w:after="100" w:afterAutospacing="1"/>
        <w:ind w:firstLine="709"/>
        <w:jc w:val="both"/>
        <w:rPr>
          <w:rFonts w:ascii="Times New Roman" w:hAnsi="Times New Roman" w:cs="Times New Roman"/>
        </w:rPr>
      </w:pPr>
    </w:p>
    <w:sectPr w:rsidR="001D02E4" w:rsidRPr="008B1E3C" w:rsidSect="008B1E3C">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43" w:rsidRDefault="00291A43" w:rsidP="008B1E3C">
      <w:r>
        <w:separator/>
      </w:r>
    </w:p>
  </w:endnote>
  <w:endnote w:type="continuationSeparator" w:id="0">
    <w:p w:rsidR="00291A43" w:rsidRDefault="00291A43" w:rsidP="008B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C" w:rsidRDefault="008B1E3C" w:rsidP="00BD35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20BD" w:rsidRDefault="00291A43" w:rsidP="008B1E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C" w:rsidRPr="008B1E3C" w:rsidRDefault="008B1E3C" w:rsidP="00BD3573">
    <w:pPr>
      <w:pStyle w:val="Altbilgi"/>
      <w:framePr w:wrap="around" w:vAnchor="text" w:hAnchor="margin" w:xAlign="right" w:y="1"/>
      <w:rPr>
        <w:rStyle w:val="SayfaNumaras"/>
        <w:rFonts w:ascii="Times New Roman" w:hAnsi="Times New Roman" w:cs="Times New Roman"/>
      </w:rPr>
    </w:pPr>
    <w:r w:rsidRPr="008B1E3C">
      <w:rPr>
        <w:rStyle w:val="SayfaNumaras"/>
        <w:rFonts w:ascii="Times New Roman" w:hAnsi="Times New Roman" w:cs="Times New Roman"/>
      </w:rPr>
      <w:fldChar w:fldCharType="begin"/>
    </w:r>
    <w:r w:rsidRPr="008B1E3C">
      <w:rPr>
        <w:rStyle w:val="SayfaNumaras"/>
        <w:rFonts w:ascii="Times New Roman" w:hAnsi="Times New Roman" w:cs="Times New Roman"/>
      </w:rPr>
      <w:instrText xml:space="preserve">PAGE  </w:instrText>
    </w:r>
    <w:r w:rsidRPr="008B1E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B1E3C">
      <w:rPr>
        <w:rStyle w:val="SayfaNumaras"/>
        <w:rFonts w:ascii="Times New Roman" w:hAnsi="Times New Roman" w:cs="Times New Roman"/>
      </w:rPr>
      <w:fldChar w:fldCharType="end"/>
    </w:r>
  </w:p>
  <w:p w:rsidR="009020BD" w:rsidRPr="008B1E3C" w:rsidRDefault="00291A43" w:rsidP="008B1E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77" w:rsidRDefault="00291A43">
    <w:pPr>
      <w:rPr>
        <w:sz w:val="2"/>
        <w:szCs w:val="2"/>
      </w:rPr>
    </w:pPr>
    <w:r>
      <w:rPr>
        <w:noProof/>
      </w:rPr>
      <mc:AlternateContent>
        <mc:Choice Requires="wps">
          <w:drawing>
            <wp:anchor distT="0" distB="0" distL="63500" distR="63500" simplePos="0" relativeHeight="251659264" behindDoc="1" locked="0" layoutInCell="1" allowOverlap="1" wp14:anchorId="5F3FD91D" wp14:editId="2F790A99">
              <wp:simplePos x="0" y="0"/>
              <wp:positionH relativeFrom="page">
                <wp:posOffset>654685</wp:posOffset>
              </wp:positionH>
              <wp:positionV relativeFrom="page">
                <wp:posOffset>10432415</wp:posOffset>
              </wp:positionV>
              <wp:extent cx="4839335" cy="13144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77" w:rsidRDefault="00291A43">
                          <w:r>
                            <w:rPr>
                              <w:rStyle w:val="stbilgiveyaaltbilgi"/>
                              <w:rFonts w:eastAsia="Courier New"/>
                            </w:rPr>
                            <w:t xml:space="preserve">UYAP Bilişim Sistemindeki bu dokümana http:''vatandas.uyap.gov.tr adresinden VİH </w:t>
                          </w:r>
                          <w:r>
                            <w:rPr>
                              <w:rStyle w:val="stbilgiveyaaltbilgi9pt"/>
                              <w:rFonts w:eastAsia="Courier New"/>
                            </w:rPr>
                            <w:t xml:space="preserve">loPf - T rRCdâO </w:t>
                          </w:r>
                          <w:r>
                            <w:rPr>
                              <w:rStyle w:val="stbilgiveyaaltbilgi"/>
                              <w:rFonts w:eastAsia="Courier New"/>
                            </w:rPr>
                            <w:t xml:space="preserve">- </w:t>
                          </w:r>
                          <w:r>
                            <w:rPr>
                              <w:rStyle w:val="stbilgiveyaaltbilgi9pt"/>
                              <w:rFonts w:eastAsia="Courier New"/>
                            </w:rPr>
                            <w:t xml:space="preserve">FzMNdhF </w:t>
                          </w:r>
                          <w:r>
                            <w:rPr>
                              <w:rStyle w:val="stbilgiveyaaltbilgi"/>
                              <w:rFonts w:eastAsia="Courier New"/>
                            </w:rPr>
                            <w:t xml:space="preserve">- </w:t>
                          </w:r>
                          <w:r>
                            <w:rPr>
                              <w:rStyle w:val="stbilgiveyaaltbilgi9pt"/>
                              <w:rFonts w:eastAsia="Courier New"/>
                            </w:rPr>
                            <w:t xml:space="preserve">w2yfVtÇ— </w:t>
                          </w:r>
                          <w:r>
                            <w:rPr>
                              <w:rStyle w:val="stbilgiveyaaltbilgi"/>
                              <w:rFonts w:eastAsia="Courier New"/>
                            </w:rPr>
                            <w:t>ile enlemi 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FD91D" id="_x0000_t202" coordsize="21600,21600" o:spt="202" path="m,l,21600r21600,l21600,xe">
              <v:stroke joinstyle="miter"/>
              <v:path gradientshapeok="t" o:connecttype="rect"/>
            </v:shapetype>
            <v:shape id="Text Box 1" o:spid="_x0000_s1026" type="#_x0000_t202" style="position:absolute;margin-left:51.55pt;margin-top:821.45pt;width:381.0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" filled="f" stroked="f">
              <v:textbox style="mso-fit-shape-to-text:t" inset="0,0,0,0">
                <w:txbxContent>
                  <w:p w:rsidR="00031177" w:rsidRDefault="00291A43">
                    <w:r>
                      <w:rPr>
                        <w:rStyle w:val="stbilgiveyaaltbilgi"/>
                        <w:rFonts w:eastAsia="Courier New"/>
                      </w:rPr>
                      <w:t xml:space="preserve">UYAP Bilişim Sistemindeki bu dokümana http:''vatandas.uyap.gov.tr adresinden VİH </w:t>
                    </w:r>
                    <w:r>
                      <w:rPr>
                        <w:rStyle w:val="stbilgiveyaaltbilgi9pt"/>
                        <w:rFonts w:eastAsia="Courier New"/>
                      </w:rPr>
                      <w:t xml:space="preserve">loPf - T rRCdâO </w:t>
                    </w:r>
                    <w:r>
                      <w:rPr>
                        <w:rStyle w:val="stbilgiveyaaltbilgi"/>
                        <w:rFonts w:eastAsia="Courier New"/>
                      </w:rPr>
                      <w:t xml:space="preserve">- </w:t>
                    </w:r>
                    <w:r>
                      <w:rPr>
                        <w:rStyle w:val="stbilgiveyaaltbilgi9pt"/>
                        <w:rFonts w:eastAsia="Courier New"/>
                      </w:rPr>
                      <w:t xml:space="preserve">FzMNdhF </w:t>
                    </w:r>
                    <w:r>
                      <w:rPr>
                        <w:rStyle w:val="stbilgiveyaaltbilgi"/>
                        <w:rFonts w:eastAsia="Courier New"/>
                      </w:rPr>
                      <w:t xml:space="preserve">- </w:t>
                    </w:r>
                    <w:r>
                      <w:rPr>
                        <w:rStyle w:val="stbilgiveyaaltbilgi9pt"/>
                        <w:rFonts w:eastAsia="Courier New"/>
                      </w:rPr>
                      <w:t xml:space="preserve">w2yfVtÇ— </w:t>
                    </w:r>
                    <w:r>
                      <w:rPr>
                        <w:rStyle w:val="stbilgiveyaaltbilgi"/>
                        <w:rFonts w:eastAsia="Courier New"/>
                      </w:rPr>
                      <w:t>ile enlemi 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43" w:rsidRDefault="00291A43" w:rsidP="008B1E3C">
      <w:r>
        <w:separator/>
      </w:r>
    </w:p>
  </w:footnote>
  <w:footnote w:type="continuationSeparator" w:id="0">
    <w:p w:rsidR="00291A43" w:rsidRDefault="00291A43" w:rsidP="008B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C" w:rsidRPr="00337F6D" w:rsidRDefault="008B1E3C" w:rsidP="008B1E3C">
    <w:pPr>
      <w:widowControl/>
      <w:shd w:val="clear" w:color="auto" w:fill="FFFFFF"/>
      <w:jc w:val="both"/>
      <w:rPr>
        <w:rFonts w:ascii="Times New Roman" w:eastAsia="Times New Roman" w:hAnsi="Times New Roman" w:cs="Times New Roman"/>
        <w:b/>
        <w:bCs/>
        <w:szCs w:val="26"/>
      </w:rPr>
    </w:pPr>
    <w:r w:rsidRPr="00337F6D">
      <w:rPr>
        <w:rFonts w:ascii="Times New Roman" w:eastAsia="Times New Roman" w:hAnsi="Times New Roman" w:cs="Times New Roman"/>
        <w:b/>
        <w:bCs/>
        <w:szCs w:val="26"/>
      </w:rPr>
      <w:t>Esas Sayısı      :  2017/127</w:t>
    </w:r>
  </w:p>
  <w:p w:rsidR="008B1E3C" w:rsidRPr="00337F6D" w:rsidRDefault="008B1E3C" w:rsidP="008B1E3C">
    <w:pPr>
      <w:widowControl/>
      <w:shd w:val="clear" w:color="auto" w:fill="FFFFFF"/>
      <w:jc w:val="both"/>
      <w:rPr>
        <w:rFonts w:ascii="Times New Roman" w:eastAsia="Times New Roman" w:hAnsi="Times New Roman" w:cs="Times New Roman"/>
        <w:b/>
        <w:bCs/>
        <w:szCs w:val="26"/>
      </w:rPr>
    </w:pPr>
    <w:r w:rsidRPr="00337F6D">
      <w:rPr>
        <w:rFonts w:ascii="Times New Roman" w:eastAsia="Times New Roman" w:hAnsi="Times New Roman" w:cs="Times New Roman"/>
        <w:b/>
        <w:bCs/>
        <w:szCs w:val="26"/>
      </w:rPr>
      <w:t>Karar Sayısı   :  2017/103</w:t>
    </w:r>
  </w:p>
  <w:p w:rsidR="00453250" w:rsidRPr="008B1E3C" w:rsidRDefault="00291A43" w:rsidP="008B1E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3C"/>
    <w:rsid w:val="001D02E4"/>
    <w:rsid w:val="00291A43"/>
    <w:rsid w:val="008B1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8D20-CCFD-4DB7-93ED-9DB8712D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1E3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8B1E3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rPr>
  </w:style>
  <w:style w:type="character" w:customStyle="1" w:styleId="stbilgiveyaaltbilgi9pt">
    <w:name w:val="Üst bilgi veya alt bilgi + 9 pt"/>
    <w:basedOn w:val="VarsaylanParagrafYazTipi"/>
    <w:rsid w:val="008B1E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
    <w:name w:val="Gövde metni_"/>
    <w:basedOn w:val="VarsaylanParagrafYazTipi"/>
    <w:link w:val="Gvdemetni0"/>
    <w:rsid w:val="008B1E3C"/>
    <w:rPr>
      <w:rFonts w:ascii="Times New Roman" w:eastAsia="Times New Roman" w:hAnsi="Times New Roman" w:cs="Times New Roman"/>
      <w:sz w:val="21"/>
      <w:szCs w:val="21"/>
      <w:shd w:val="clear" w:color="auto" w:fill="FFFFFF"/>
    </w:rPr>
  </w:style>
  <w:style w:type="character" w:customStyle="1" w:styleId="Gvdemetni7">
    <w:name w:val="Gövde metni (7)_"/>
    <w:basedOn w:val="VarsaylanParagrafYazTipi"/>
    <w:link w:val="Gvdemetni70"/>
    <w:rsid w:val="008B1E3C"/>
    <w:rPr>
      <w:rFonts w:ascii="Times New Roman" w:eastAsia="Times New Roman" w:hAnsi="Times New Roman" w:cs="Times New Roman"/>
      <w:i/>
      <w:iCs/>
      <w:shd w:val="clear" w:color="auto" w:fill="FFFFFF"/>
    </w:rPr>
  </w:style>
  <w:style w:type="character" w:customStyle="1" w:styleId="Gvdemetni7105pttalikdeil">
    <w:name w:val="Gövde metni (7) + 10;5 pt;İtalik değil"/>
    <w:basedOn w:val="Gvdemetni7"/>
    <w:rsid w:val="008B1E3C"/>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7-1ptbolukbraklyor">
    <w:name w:val="Gövde metni (7) + -1 pt boşluk bırakılıyor"/>
    <w:basedOn w:val="Gvdemetni7"/>
    <w:rsid w:val="008B1E3C"/>
    <w:rPr>
      <w:rFonts w:ascii="Times New Roman" w:eastAsia="Times New Roman" w:hAnsi="Times New Roman" w:cs="Times New Roman"/>
      <w:i/>
      <w:iCs/>
      <w:color w:val="000000"/>
      <w:spacing w:val="-20"/>
      <w:w w:val="100"/>
      <w:position w:val="0"/>
      <w:shd w:val="clear" w:color="auto" w:fill="FFFFFF"/>
      <w:lang w:val="tr-TR"/>
    </w:rPr>
  </w:style>
  <w:style w:type="character" w:customStyle="1" w:styleId="GvdemetniKaln">
    <w:name w:val="Gövde metni + Kalın"/>
    <w:basedOn w:val="Gvdemetni"/>
    <w:rsid w:val="008B1E3C"/>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8B1E3C"/>
    <w:pPr>
      <w:shd w:val="clear" w:color="auto" w:fill="FFFFFF"/>
      <w:spacing w:line="234" w:lineRule="exact"/>
      <w:jc w:val="both"/>
    </w:pPr>
    <w:rPr>
      <w:rFonts w:ascii="Times New Roman" w:eastAsia="Times New Roman" w:hAnsi="Times New Roman" w:cs="Times New Roman"/>
      <w:color w:val="auto"/>
      <w:sz w:val="21"/>
      <w:szCs w:val="21"/>
      <w:lang w:eastAsia="en-US"/>
    </w:rPr>
  </w:style>
  <w:style w:type="paragraph" w:customStyle="1" w:styleId="Gvdemetni70">
    <w:name w:val="Gövde metni (7)"/>
    <w:basedOn w:val="Normal"/>
    <w:link w:val="Gvdemetni7"/>
    <w:rsid w:val="008B1E3C"/>
    <w:pPr>
      <w:shd w:val="clear" w:color="auto" w:fill="FFFFFF"/>
      <w:spacing w:line="277" w:lineRule="exact"/>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8B1E3C"/>
    <w:pPr>
      <w:tabs>
        <w:tab w:val="center" w:pos="4536"/>
        <w:tab w:val="right" w:pos="9072"/>
      </w:tabs>
    </w:pPr>
  </w:style>
  <w:style w:type="character" w:customStyle="1" w:styleId="stbilgiChar">
    <w:name w:val="Üstbilgi Char"/>
    <w:basedOn w:val="VarsaylanParagrafYazTipi"/>
    <w:link w:val="stbilgi"/>
    <w:uiPriority w:val="99"/>
    <w:rsid w:val="008B1E3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8B1E3C"/>
    <w:pPr>
      <w:tabs>
        <w:tab w:val="center" w:pos="4536"/>
        <w:tab w:val="right" w:pos="9072"/>
      </w:tabs>
    </w:pPr>
  </w:style>
  <w:style w:type="character" w:customStyle="1" w:styleId="AltbilgiChar">
    <w:name w:val="Altbilgi Char"/>
    <w:basedOn w:val="VarsaylanParagrafYazTipi"/>
    <w:link w:val="Altbilgi"/>
    <w:uiPriority w:val="99"/>
    <w:rsid w:val="008B1E3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8B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2019-03-20T07:08:00Z</dcterms:created>
  <dcterms:modified xsi:type="dcterms:W3CDTF">2019-03-20T07:11:00Z</dcterms:modified>
</cp:coreProperties>
</file>