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87F" w:rsidRDefault="008F487F" w:rsidP="008F487F">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8F487F">
        <w:rPr>
          <w:sz w:val="24"/>
          <w:szCs w:val="26"/>
        </w:rPr>
        <w:t>“Davacı vekili Av. … mahkememize verdiği 30.06.2016 havale tarihli dilekçesinde özetle, TBMM tarafından kabul edilen Elektrik Piyasası Kanunu ile Bazı Kanunlarda Değişiklik Yapılmasına Dair Kanun 17.06.2016 tarihinde resmi gazetede yayımlandığını, adı geçen kanun değişikliklerinde davayı ilgilendiren 26. maddesinde “Geçici 20/l:l) Kurul kararlarına uygun şekilde tahakkuk ettirilmiş dağıtım, sayaç okuma, perakende satış hizmeti, iletim ve kayıp-kaçak bedelleri ile ilgili olarak açılmış olan her türlü ilamsız icra takibi, dava ve başvurular hakkında 17. madde hükümleri uygulanır.” hükmünün getirildiğini, ancak bu yapılan değişikliğin açıkça anayasaya aykırılık teşkil ettiğini, mevzuatta yürürlüğe giren bir yasanın geriye yürüyüp yürümeyeceği hususunda bir hüküm bulunmadığını ancak kanunlara karşı güveni sağlamak ve hatta kanun koyucunun keyfî hareketlerine engel olmak için tersini öngören bir hükmü kendi bünyesinde taşımayan bir kanunun kural olarak geriye yürümeyeceği esasının kabul edildiğini, kanunların yürürlüğe girdiği tarihten sonraki zamanda meydana gelen olaylara ve ilişki lire uygulanabileceğini, o tarihten önceki zamana rastlayan olaylar ve ilişkilere uygulanamayacağını, getirilen, düzenlemeye bakıldığında ise kamu yararının değil bir takım özel şirket i İre in, yararına düzenlemeye gidildiği, bununla da yetinilmeyerek kanunun geriye yürütüldüğünü, hukukun genel ve evrensel ilkeleri ve Türk Anayasası karşısında yapılan bu düzenlemenin hukuk dışı olduğunu, tüm bu izah edilen nedenler ile hükmün açıkça anayasaya aykırı olduğunu, somut norm denetimi açısından başlangıç 2, 5, 10, 35, 36 ve mahkememizce resen takdir edilecek diğer maddelere uygunluğunun denetimi açısından maddenin iptali için anayasa mahkemesine başvurulmasını talep ettiği görülmüştür.</w:t>
      </w:r>
    </w:p>
    <w:p w:rsidR="008F487F" w:rsidRDefault="008F487F" w:rsidP="008F487F">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8F487F">
        <w:rPr>
          <w:sz w:val="24"/>
          <w:szCs w:val="26"/>
        </w:rPr>
        <w:t>İptali istenen 6719 sayılı Kanunun geçici 20. ve 21. maddeleri incelenmiş ve aşağıda gerekçelendirileceği üzere Anayasamızın 2, 5, 10, 35 ve 36. maddelerine aykırı olabileceği düşünüldüğünden davacı vekilinin talebi ciddi görülmüştür. Şöyle ki:</w:t>
      </w:r>
    </w:p>
    <w:p w:rsidR="008F487F" w:rsidRDefault="008F487F" w:rsidP="008F487F">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8F487F">
        <w:rPr>
          <w:sz w:val="24"/>
          <w:szCs w:val="26"/>
        </w:rPr>
        <w:t>İptali istenen geçici 20. madde yasanın yürürlük tarihi öncesini kapsar şekilde daha önce tahakkuk ettirilen ve daha önce açılan ilamsız icra takibi* dava ve başvurulan da kapsar şekilde düzenlenmiştir. Hukuk devletinin bir gereği hukuk güvenliği ilkesine riayettir. Kanun koyucunun sınırsız ve keyfi şekilde kanun değişikliği yapma hakkı ve yetkisi olamaz. Hukuk kuralları değiştirilerek bir yandan toplumun yeni ihtiyaçları karşılanmalı, diğer yandan değişiklik tarihine kadar mevcut olan hukuki durumun ve oluşmuş hukuki istikrarın zedelenmemesi gerekir. Hukuk kurallarının geçmişte tamamlanmış veya kazanılmış haklara geriye dönük uygulanması hukuki güvenlik ilkesini böylelikle hukuk devleti ilkesini ihlal etmiş olacaktır. Geçmiş tarihli tahakkuklara uygulanacak mevzuatın tahakkuktan sonraki tarihte yürürlüğe girmesi hukuk devleti yerine kanun devleti anlayışıyla açıklanabilir. Bu nedenle anılan düzenleme Anayasamızın 2. maddesinde ifadesini bulan hukuk devleti ilkesine aykırılık teşkil etmektedir.</w:t>
      </w:r>
    </w:p>
    <w:p w:rsidR="008F487F" w:rsidRDefault="008F487F" w:rsidP="008F487F">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8F487F">
        <w:rPr>
          <w:sz w:val="24"/>
          <w:szCs w:val="26"/>
        </w:rPr>
        <w:t>Yine anılan kanunun 21. maddesi ile 17. madde 10. fıkrasında mahkemenin yetkisi bedelin, düzenleyici işlemlerine uygunluğunun denetimi ile sınırlanmış olup, düzenleme bu şekliyle hak arama hürriyeti ve yine hukuk devletinin ihlalini teşkil etmektedir. Zira tüketici, tüketici yasası ile elde ettiği haklarını mahkemenin sınırlı yetkisi nedeniyle ileri süremeyecektir. Hakların ileri sürülememesi Anayasamızın 36. maddesine, ve yine Anayasamızın 2. maddesine aykırılık teşkil etmektedir. Ayrıca Anayasamızın 9. maddesinde verilen yargı yetkisinin de kanunla sınırlandırılması anlamına gelmemektedir.</w:t>
      </w:r>
    </w:p>
    <w:p w:rsidR="008F487F" w:rsidRDefault="008F487F" w:rsidP="008F487F">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8F487F">
        <w:rPr>
          <w:sz w:val="24"/>
          <w:szCs w:val="26"/>
        </w:rPr>
        <w:t xml:space="preserve">Her ne kadar elektrik dağıtımı kamu hizmeti olsa da, bedeli mukabilinde özel hukuk kurallarınca elektrik satın alan tüketiciden dağıtım, sayaç okuma, perakende satış hizmeti, iletim bedeli adı altında ücret alınamaz. Bunlar hizmet sunanın katlanması gereken maliyetlerdir ve tüketiciye yüklenemez. Kayıp kaçak bedeli adı altında alman ücretler ise hiçbir </w:t>
      </w:r>
      <w:r w:rsidRPr="008F487F">
        <w:rPr>
          <w:sz w:val="24"/>
          <w:szCs w:val="26"/>
        </w:rPr>
        <w:lastRenderedPageBreak/>
        <w:t>şekilde denetime elverişli olmayan, kayıp ve kaçak elektrik kullanıp bedel ödemeyen tüketiyici teşvik eden, külfetine bir diğer tüketicinin katlanmasını gerektiren niteliktedir. Bu tutum tüketiciler arasında eşitsizlik yaratır, bu nedenle gerek özel üretim ve dağıtım şirketi ile gerekse elektriği kaçak şekilde kullanan tüketici ile kayıp kaçak bedeline katlanan kişi arasında AY. 10. maddesinde ifadesini bulan eşitlik ilkesi ihlal edilmiştir.</w:t>
      </w:r>
    </w:p>
    <w:p w:rsidR="008F487F" w:rsidRDefault="008F487F" w:rsidP="008F487F">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8F487F">
        <w:rPr>
          <w:sz w:val="24"/>
          <w:szCs w:val="26"/>
        </w:rPr>
        <w:t>Ayrıca engellenemeyen kayıp kaçak bedelinin külfetini, satıcı, dağıtıcı firma ve kaçak elektrik kullanan kişiler arasında denge kurulmaksızın tümden bu durumda hiçbir kusuru bulunmayan ve kayıp kaçak tahsilinden menfaati de bulunmayan, elektrik almak zorunlu bir ihtiyaç olduğundan, sözleşme yapabileceği tekel konumundaki firmaya nazaran zayıf konumda olan tüketiciye yüklemek sosyal devlet ile adalet ilkeleri ile bağdaşmayacaktır. Bu yönüyle ilgili düzenleme Anayasanın 5. maddesine aykırıdır.</w:t>
      </w:r>
    </w:p>
    <w:p w:rsidR="008F487F" w:rsidRDefault="008F487F" w:rsidP="008F487F">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8F487F">
        <w:rPr>
          <w:sz w:val="24"/>
          <w:szCs w:val="26"/>
        </w:rPr>
        <w:t>Son olarak anlatılan nedenlerle anayasaya aykırı olan bu düzenleme gereği haksız olarak alınacağı düşünülen bedeller AY 35. uyarı</w:t>
      </w:r>
      <w:bookmarkStart w:id="0" w:name="_GoBack"/>
      <w:bookmarkEnd w:id="0"/>
      <w:r w:rsidRPr="008F487F">
        <w:rPr>
          <w:sz w:val="24"/>
          <w:szCs w:val="26"/>
        </w:rPr>
        <w:t>nca mülkiyet hakkının ihlali anlamına gelecektir.</w:t>
      </w:r>
    </w:p>
    <w:p w:rsidR="008F487F" w:rsidRDefault="008F487F" w:rsidP="008F487F">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8F487F">
        <w:rPr>
          <w:sz w:val="24"/>
          <w:szCs w:val="26"/>
        </w:rPr>
        <w:t>Dosyamız kül halinde ele alınarak incelemesinden, dosyamız davacı vekilinin talebi yerinde gönderilmekle gerekli incelemeyi yapmak üzere Anayasa Mahkemesine verilmiştir.</w:t>
      </w:r>
    </w:p>
    <w:p w:rsidR="008F487F" w:rsidRPr="008F487F" w:rsidRDefault="008F487F" w:rsidP="008F487F">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8F487F">
        <w:rPr>
          <w:sz w:val="24"/>
          <w:szCs w:val="26"/>
        </w:rPr>
        <w:t xml:space="preserve">SONUÇ VE İSTEM: Yukarıda açıklanan nedenlerle; </w:t>
      </w:r>
    </w:p>
    <w:p w:rsidR="008F487F" w:rsidRDefault="008F487F" w:rsidP="008F487F">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8F487F">
        <w:rPr>
          <w:sz w:val="24"/>
          <w:szCs w:val="26"/>
        </w:rPr>
        <w:t>Davacı vekili Av. … talebinin KABULÜ ile,</w:t>
      </w:r>
    </w:p>
    <w:p w:rsidR="008F487F" w:rsidRDefault="008F487F" w:rsidP="008F487F">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8F487F">
        <w:rPr>
          <w:sz w:val="24"/>
          <w:szCs w:val="26"/>
        </w:rPr>
        <w:t>6719 sayılı Kanunun geçici 20. ve 21. maddesinin Anayasaya aykırılığı hususunda değerlendirme yapmak üzere dosyanın Anayasa Mahkemesine gönderilmesine,</w:t>
      </w:r>
    </w:p>
    <w:p w:rsidR="008F487F" w:rsidRDefault="008F487F" w:rsidP="008F487F">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8F487F">
        <w:rPr>
          <w:sz w:val="24"/>
          <w:szCs w:val="26"/>
        </w:rPr>
        <w:t>Dosya üzerinden yapılan inceleme sonucunda karar verildi.”</w:t>
      </w:r>
    </w:p>
    <w:p w:rsidR="001D02E4" w:rsidRPr="008F487F" w:rsidRDefault="001D02E4" w:rsidP="008F487F">
      <w:pPr>
        <w:widowControl/>
        <w:spacing w:before="100" w:beforeAutospacing="1" w:after="100" w:afterAutospacing="1"/>
        <w:ind w:firstLine="709"/>
        <w:jc w:val="both"/>
        <w:rPr>
          <w:rFonts w:ascii="Times New Roman" w:hAnsi="Times New Roman" w:cs="Times New Roman"/>
        </w:rPr>
      </w:pPr>
    </w:p>
    <w:sectPr w:rsidR="001D02E4" w:rsidRPr="008F487F" w:rsidSect="008F487F">
      <w:headerReference w:type="default" r:id="rId6"/>
      <w:footerReference w:type="even" r:id="rId7"/>
      <w:footerReference w:type="default" r:id="rId8"/>
      <w:footerReference w:type="first" r:id="rId9"/>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404" w:rsidRDefault="005E6404" w:rsidP="008F487F">
      <w:r>
        <w:separator/>
      </w:r>
    </w:p>
  </w:endnote>
  <w:endnote w:type="continuationSeparator" w:id="0">
    <w:p w:rsidR="005E6404" w:rsidRDefault="005E6404" w:rsidP="008F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87F" w:rsidRDefault="008F487F" w:rsidP="0009315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F487F" w:rsidRDefault="008F487F" w:rsidP="008F487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87F" w:rsidRPr="008F487F" w:rsidRDefault="008F487F" w:rsidP="00093156">
    <w:pPr>
      <w:pStyle w:val="Altbilgi"/>
      <w:framePr w:wrap="around" w:vAnchor="text" w:hAnchor="margin" w:xAlign="right" w:y="1"/>
      <w:rPr>
        <w:rStyle w:val="SayfaNumaras"/>
        <w:rFonts w:ascii="Times New Roman" w:hAnsi="Times New Roman" w:cs="Times New Roman"/>
      </w:rPr>
    </w:pPr>
    <w:r w:rsidRPr="008F487F">
      <w:rPr>
        <w:rStyle w:val="SayfaNumaras"/>
        <w:rFonts w:ascii="Times New Roman" w:hAnsi="Times New Roman" w:cs="Times New Roman"/>
      </w:rPr>
      <w:fldChar w:fldCharType="begin"/>
    </w:r>
    <w:r w:rsidRPr="008F487F">
      <w:rPr>
        <w:rStyle w:val="SayfaNumaras"/>
        <w:rFonts w:ascii="Times New Roman" w:hAnsi="Times New Roman" w:cs="Times New Roman"/>
      </w:rPr>
      <w:instrText xml:space="preserve">PAGE  </w:instrText>
    </w:r>
    <w:r w:rsidRPr="008F487F">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8F487F">
      <w:rPr>
        <w:rStyle w:val="SayfaNumaras"/>
        <w:rFonts w:ascii="Times New Roman" w:hAnsi="Times New Roman" w:cs="Times New Roman"/>
      </w:rPr>
      <w:fldChar w:fldCharType="end"/>
    </w:r>
  </w:p>
  <w:p w:rsidR="008F487F" w:rsidRPr="008F487F" w:rsidRDefault="008F487F" w:rsidP="008F487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A0C" w:rsidRDefault="005E6404">
    <w:pPr>
      <w:rPr>
        <w:sz w:val="2"/>
        <w:szCs w:val="2"/>
      </w:rPr>
    </w:pPr>
    <w:r>
      <w:rPr>
        <w:noProof/>
      </w:rPr>
      <mc:AlternateContent>
        <mc:Choice Requires="wps">
          <w:drawing>
            <wp:anchor distT="0" distB="0" distL="63500" distR="63500" simplePos="0" relativeHeight="251659264" behindDoc="1" locked="0" layoutInCell="1" allowOverlap="1" wp14:anchorId="4CF2C4CE" wp14:editId="1874EE7A">
              <wp:simplePos x="0" y="0"/>
              <wp:positionH relativeFrom="page">
                <wp:posOffset>609600</wp:posOffset>
              </wp:positionH>
              <wp:positionV relativeFrom="page">
                <wp:posOffset>10126345</wp:posOffset>
              </wp:positionV>
              <wp:extent cx="617220" cy="1314450"/>
              <wp:effectExtent l="0" t="1270" r="190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A0C" w:rsidRDefault="005E6404">
                          <w:r>
                            <w:rPr>
                              <w:rStyle w:val="stbilgiveyaaltbilgi"/>
                              <w:rFonts w:eastAsia="Courier New"/>
                            </w:rPr>
                            <w:t xml:space="preserve">UYAP Bilişim Sisteminde yer alan bu dokümana http//vatanda&amp; uyap gov tr adresinden </w:t>
                          </w:r>
                          <w:r>
                            <w:rPr>
                              <w:rStyle w:val="stbilgiveyaaltbilgi9pt"/>
                              <w:rFonts w:eastAsia="Courier New"/>
                            </w:rPr>
                            <w:t xml:space="preserve">SSFjVZS ■ 60SSxlt - Ikt7VlI </w:t>
                          </w:r>
                          <w:r>
                            <w:rPr>
                              <w:rStyle w:val="stbilgiveyaaltbilgi"/>
                              <w:rFonts w:eastAsia="Courier New"/>
                            </w:rPr>
                            <w:t>- ZSCjCÛ= kodu ile erişebilirsiniz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F2C4CE" id="_x0000_t202" coordsize="21600,21600" o:spt="202" path="m,l,21600r21600,l21600,xe">
              <v:stroke joinstyle="miter"/>
              <v:path gradientshapeok="t" o:connecttype="rect"/>
            </v:shapetype>
            <v:shape id="Text Box 4" o:spid="_x0000_s1026" type="#_x0000_t202" style="position:absolute;margin-left:48pt;margin-top:797.35pt;width:48.6pt;height:10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" filled="f" stroked="f">
              <v:textbox style="mso-fit-shape-to-text:t" inset="0,0,0,0">
                <w:txbxContent>
                  <w:p w:rsidR="000C6A0C" w:rsidRDefault="005E6404">
                    <w:r>
                      <w:rPr>
                        <w:rStyle w:val="stbilgiveyaaltbilgi"/>
                        <w:rFonts w:eastAsia="Courier New"/>
                      </w:rPr>
                      <w:t xml:space="preserve">UYAP Bilişim Sisteminde yer alan bu dokümana http//vatanda&amp; uyap gov tr adresinden </w:t>
                    </w:r>
                    <w:r>
                      <w:rPr>
                        <w:rStyle w:val="stbilgiveyaaltbilgi9pt"/>
                        <w:rFonts w:eastAsia="Courier New"/>
                      </w:rPr>
                      <w:t xml:space="preserve">SSFjVZS ■ 60SSxlt - Ikt7VlI </w:t>
                    </w:r>
                    <w:r>
                      <w:rPr>
                        <w:rStyle w:val="stbilgiveyaaltbilgi"/>
                        <w:rFonts w:eastAsia="Courier New"/>
                      </w:rPr>
                      <w:t>- ZSCjCÛ= kodu ile erişebilirsiniz</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404" w:rsidRDefault="005E6404" w:rsidP="008F487F">
      <w:r>
        <w:separator/>
      </w:r>
    </w:p>
  </w:footnote>
  <w:footnote w:type="continuationSeparator" w:id="0">
    <w:p w:rsidR="005E6404" w:rsidRDefault="005E6404" w:rsidP="008F4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87F" w:rsidRPr="00C86A43" w:rsidRDefault="008F487F" w:rsidP="008F487F">
    <w:pPr>
      <w:widowControl/>
      <w:shd w:val="clear" w:color="auto" w:fill="FFFFFF"/>
      <w:jc w:val="both"/>
      <w:rPr>
        <w:rFonts w:ascii="Times New Roman" w:eastAsia="Times New Roman" w:hAnsi="Times New Roman" w:cs="Times New Roman"/>
        <w:b/>
        <w:bCs/>
        <w:szCs w:val="26"/>
      </w:rPr>
    </w:pPr>
    <w:r w:rsidRPr="00C86A43">
      <w:rPr>
        <w:rFonts w:ascii="Times New Roman" w:eastAsia="Times New Roman" w:hAnsi="Times New Roman" w:cs="Times New Roman"/>
        <w:b/>
        <w:bCs/>
        <w:szCs w:val="26"/>
      </w:rPr>
      <w:t>Esas Sayısı      :  2017/8</w:t>
    </w:r>
  </w:p>
  <w:p w:rsidR="008F487F" w:rsidRPr="00C86A43" w:rsidRDefault="008F487F" w:rsidP="008F487F">
    <w:pPr>
      <w:widowControl/>
      <w:shd w:val="clear" w:color="auto" w:fill="FFFFFF"/>
      <w:jc w:val="both"/>
      <w:rPr>
        <w:rFonts w:ascii="Times New Roman" w:eastAsia="Times New Roman" w:hAnsi="Times New Roman" w:cs="Times New Roman"/>
        <w:b/>
        <w:bCs/>
        <w:szCs w:val="26"/>
      </w:rPr>
    </w:pPr>
    <w:r w:rsidRPr="00C86A43">
      <w:rPr>
        <w:rFonts w:ascii="Times New Roman" w:eastAsia="Times New Roman" w:hAnsi="Times New Roman" w:cs="Times New Roman"/>
        <w:b/>
        <w:bCs/>
        <w:szCs w:val="26"/>
      </w:rPr>
      <w:t>Karar Sayısı   :  2017/10</w:t>
    </w:r>
  </w:p>
  <w:p w:rsidR="008F487F" w:rsidRPr="008F487F" w:rsidRDefault="008F487F" w:rsidP="008F487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7F"/>
    <w:rsid w:val="001D02E4"/>
    <w:rsid w:val="005E6404"/>
    <w:rsid w:val="008F48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CD3CA-33E0-4CE6-8417-CCA1918A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487F"/>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veyaaltbilgi">
    <w:name w:val="Üst bilgi veya alt bilgi"/>
    <w:basedOn w:val="VarsaylanParagrafYazTipi"/>
    <w:rsid w:val="008F487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tr-TR"/>
    </w:rPr>
  </w:style>
  <w:style w:type="character" w:customStyle="1" w:styleId="stbilgiveyaaltbilgi9pt">
    <w:name w:val="Üst bilgi veya alt bilgi + 9 pt"/>
    <w:basedOn w:val="VarsaylanParagrafYazTipi"/>
    <w:rsid w:val="008F487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rPr>
  </w:style>
  <w:style w:type="character" w:customStyle="1" w:styleId="Gvdemetni">
    <w:name w:val="Gövde metni_"/>
    <w:basedOn w:val="VarsaylanParagrafYazTipi"/>
    <w:link w:val="Gvdemetni0"/>
    <w:rsid w:val="008F487F"/>
    <w:rPr>
      <w:rFonts w:ascii="Times New Roman" w:eastAsia="Times New Roman" w:hAnsi="Times New Roman" w:cs="Times New Roman"/>
      <w:sz w:val="21"/>
      <w:szCs w:val="21"/>
      <w:shd w:val="clear" w:color="auto" w:fill="FFFFFF"/>
    </w:rPr>
  </w:style>
  <w:style w:type="paragraph" w:customStyle="1" w:styleId="Gvdemetni0">
    <w:name w:val="Gövde metni"/>
    <w:basedOn w:val="Normal"/>
    <w:link w:val="Gvdemetni"/>
    <w:rsid w:val="008F487F"/>
    <w:pPr>
      <w:shd w:val="clear" w:color="auto" w:fill="FFFFFF"/>
      <w:spacing w:before="360" w:after="360" w:line="0" w:lineRule="atLeast"/>
    </w:pPr>
    <w:rPr>
      <w:rFonts w:ascii="Times New Roman" w:eastAsia="Times New Roman" w:hAnsi="Times New Roman" w:cs="Times New Roman"/>
      <w:color w:val="auto"/>
      <w:sz w:val="21"/>
      <w:szCs w:val="21"/>
      <w:lang w:eastAsia="en-US"/>
    </w:rPr>
  </w:style>
  <w:style w:type="paragraph" w:styleId="stbilgi">
    <w:name w:val="header"/>
    <w:basedOn w:val="Normal"/>
    <w:link w:val="stbilgiChar"/>
    <w:uiPriority w:val="99"/>
    <w:unhideWhenUsed/>
    <w:rsid w:val="008F487F"/>
    <w:pPr>
      <w:tabs>
        <w:tab w:val="center" w:pos="4536"/>
        <w:tab w:val="right" w:pos="9072"/>
      </w:tabs>
    </w:pPr>
  </w:style>
  <w:style w:type="character" w:customStyle="1" w:styleId="stbilgiChar">
    <w:name w:val="Üstbilgi Char"/>
    <w:basedOn w:val="VarsaylanParagrafYazTipi"/>
    <w:link w:val="stbilgi"/>
    <w:uiPriority w:val="99"/>
    <w:rsid w:val="008F487F"/>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8F487F"/>
    <w:pPr>
      <w:tabs>
        <w:tab w:val="center" w:pos="4536"/>
        <w:tab w:val="right" w:pos="9072"/>
      </w:tabs>
    </w:pPr>
  </w:style>
  <w:style w:type="character" w:customStyle="1" w:styleId="AltbilgiChar">
    <w:name w:val="Altbilgi Char"/>
    <w:basedOn w:val="VarsaylanParagrafYazTipi"/>
    <w:link w:val="Altbilgi"/>
    <w:uiPriority w:val="99"/>
    <w:rsid w:val="008F487F"/>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8F4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835</Words>
  <Characters>4765</Characters>
  <Application>Microsoft Office Word</Application>
  <DocSecurity>0</DocSecurity>
  <Lines>39</Lines>
  <Paragraphs>11</Paragraphs>
  <ScaleCrop>false</ScaleCrop>
  <Company/>
  <LinksUpToDate>false</LinksUpToDate>
  <CharactersWithSpaces>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2019-03-20T07:01:00Z</dcterms:created>
  <dcterms:modified xsi:type="dcterms:W3CDTF">2019-03-20T07:03:00Z</dcterms:modified>
</cp:coreProperties>
</file>