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8FA" w:rsidRPr="002C48FA" w:rsidRDefault="002C48FA" w:rsidP="002C48FA">
      <w:pPr>
        <w:pStyle w:val="Gvdemetni50"/>
        <w:widowControl/>
        <w:shd w:val="clear" w:color="auto" w:fill="auto"/>
        <w:tabs>
          <w:tab w:val="left" w:pos="1134"/>
        </w:tabs>
        <w:spacing w:before="100" w:beforeAutospacing="1" w:after="100" w:afterAutospacing="1" w:line="240" w:lineRule="auto"/>
        <w:ind w:firstLine="709"/>
        <w:rPr>
          <w:rFonts w:ascii="Times New Roman" w:hAnsi="Times New Roman" w:cs="Times New Roman"/>
          <w:b w:val="0"/>
          <w:i/>
          <w:sz w:val="24"/>
          <w:szCs w:val="26"/>
        </w:rPr>
      </w:pPr>
      <w:bookmarkStart w:id="0" w:name="_GoBack"/>
      <w:r>
        <w:rPr>
          <w:rFonts w:ascii="Times New Roman" w:hAnsi="Times New Roman" w:cs="Times New Roman"/>
          <w:b w:val="0"/>
          <w:i/>
          <w:sz w:val="24"/>
          <w:szCs w:val="26"/>
        </w:rPr>
        <w:t xml:space="preserve"> </w:t>
      </w:r>
      <w:bookmarkEnd w:id="0"/>
      <w:r w:rsidRPr="002C48FA">
        <w:rPr>
          <w:rFonts w:ascii="Times New Roman" w:hAnsi="Times New Roman" w:cs="Times New Roman"/>
          <w:b w:val="0"/>
          <w:i/>
          <w:sz w:val="24"/>
          <w:szCs w:val="26"/>
        </w:rPr>
        <w:t>“1982 Anayasası’nın “Cumhuriyetin Nitelikleri” başlıklı 2. maddesinde, Türkiye Cumhuriyeti’nin bir hukuk devleti olduğu kurala bağlanmıştır.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Anayasa’nın 2. maddesinde belirtilen hukuk devleti; insan haklarına saygılı,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koyucunun, kendisine tanınan takdir yetkisini anayasal sınırlar içinde adalet, hakkaniyet ve kamu yararı ölçütlerini göz önünde tutarak kullanması gerekir.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Spesifik bir alandaki kamu düzenini korumak veya belli bir sektörü regüle etmek amacıyla o konularda özel olarak yetkilendirilmiş idari makamlar tarafından verilen idari cezalar, doktrinde “regülatif cezalar” olarak tanımlanmıştır. Bağımsız idari otoritelerin verdiği cezalar bu kategoriye girmektedir.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Öte yandan, suç oluşturmayan, daha basit mevzuat ihlâlleri olarak kabul edilen kabahatler için de cezalar öngörülmektedir. Kamu düzeninin korunması amacıyla genel kolluk yetkileri kapsamında verilen bu çeşit “kabahat cezaları” da daha çok para cezası olarak uygulamaya konu olmaktadır. Kabahat olarak verilen idari para cezaları genel itibarıyla maktudur. Bu tip cezaların düşük meblağlı olmaları sebebiyle maktu olarak uygulanmasında bir sorun görülmeyebilir.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Buna karşılık, regülatif cezalar açısından durum farklıdır. Çünkü, bu cezalar genellikle meblağ, etki ve sonuçlarıyla muhatapları üzerinde çok ağır sonuçlar doğuran ve genellikle gerçek kişilere değil, tüzel kişilere uygulanan cezalardır. Bu nedenle ya cezaya muhatap işletmenin cirosu, geliri ve kârı gibi objektif bir referans baz alınarak nispi şekilde belirlenmeli, ya da maktu olarak belirlenecek ise mutlaka alt ve üst limit belirlenerek fiilin ağırlığı ve hafifletici-ağırlaştırıcı nedenler dikkate alınmalıdır. Bu iki seçenekten ikisinin de benimsenmediği, yani hem cezanın nispî değil, maktu olarak belirlendiği ve hem de buna ilave olarak alt ve üst limit de öngörülmediği hâllerde ceza ölçülü ve adil olmayacaktır. (Bkz. Prof. Dr. Ali ULUSOY, İdari Yaptırımlar, s. 125 vd.)</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Ölçülülük ilkesi, temel hak ve hürriyetlerin sınırlandırılmasında, hukuksal güvencelere bağlı kalınarak, elde edilmek istenen amaca uygun sınırlandırma araçları ile o amaca ulaşılmasını ifade etmektedir. Bu ilke, “elverişlilik”, “gereklilik” ve “orantılılık” olmak üzere üç alt ilkeden oluşmaktadır. “Elverişlilik”, getirilen kuralın, ulaşılmak istenen amaç için elverişli olmasını; “gereklilik”, getirilen kuralın, ulaşılmak istenen amaç bakımından gerekli olmasını ve “orantılılık” ise, getirilen kural ve ulaşılmak istenen amaç arasında olması gereken ölçüyü ifade etmektedir.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 xml:space="preserve">Öte yandan, idarelerin kanunlarla verilen görevleri yerine getirirken ne tür kararlar almaları gerektiğinin, her türlü olay ve olgu göz önünde bulundurularak önceden hukuk kurallarıyla belirlenmesi mümkün olmadığı gibi, kamu hizmetlerinin ve toplumsal ihtiyaçların </w:t>
      </w:r>
      <w:r w:rsidRPr="002C48FA">
        <w:rPr>
          <w:rFonts w:ascii="Times New Roman" w:hAnsi="Times New Roman" w:cs="Times New Roman"/>
          <w:i/>
          <w:sz w:val="24"/>
          <w:szCs w:val="26"/>
        </w:rPr>
        <w:lastRenderedPageBreak/>
        <w:t>değişkenliği dikkate alındığında uygun bir yöntem de değildir. Bu nedenle, idarelerin karşılaştıkları farklı durumlar karşısında en uygun çözümü üretebilmeleri için takdir yetkisiyle donatılmaları zorunludur. Takdir yetkisinin amacı, idareye farklı çözümler arasından uygun ve yerinde olanı seçme serbestisi tanımaktır. Ayrıca, her eylem biçimi için kanunla tek ceza tayin edilmesi ve idareye takdir yetkisi tanınmaması, bazı durumlarda adalete aykırı sonuçlar da doğurabilir.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Yine, 5326 sayılı Kabahatler Kanunu’nun genel hükümleri içinde yer alan 17. maddesinde, idari para cezası uygulanırken hangi ölçütlerin esas alınacağı gösterilmiştir. Söz konusu maddenin ikinci fıkrasına göre, idari para cezasının, kanunda alt ve üst sınırı gösterilmek suretiyle belirlendiği durumlarda, idari para cezasının miktarı tespit edilirken işlenen kabahatin haksızlık içeriği ile failin kusuru ve ekonomik durumunun birlikte göz önünde bulundurulması gerekmektedir. Anılan düzenleme, her ne kadar Anayasa’ya uygunluk denetimine doğrudan esas alınamasa da, yukarıda belirtilen “ölçülülük” ilkesinin bir tezahürü olması itibarıyla önem arz etmektedir.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Regülasyon kurumlarının tamamına yakınında, uygulanan idari para cezalarının nispi olduğu veya maktu olmakla birlikte alt ve üst sınır belirlendiği görülmektedir. Gerçekten, Rekabet Kurumu’nca, mevzuat ihlallerinde, 4054 sayılı Rekabetin Korunması Hakkında Kanun’un 16. maddesi uyarınca, “yıllık gayrisafi gelir” miktarının binde birinden binde beşine kadar idari para cezası verileceğinin; Radyo ve Televizyon Üst Kurulu’nca, yayın ihlallerinde, 6112 sayılı Radyo ve Televizyonların Kuruluş ve Yayın Hizmetleri Hakkında Kanun’un 32. maddesi uyarınca, “ihlâlin tespit edildiği aydan bir önceki aydaki brüt ticari iletişim gelirinin yüzde ikisinden beşine kadar” idari para cezası verileceğinin; Bilgi Teknolojileri ve İletişim Kurulu’nca, 5809 sayılı Elektronik Haberleşme Kanunu’nun 60. maddesinin birinci fıkrası uyarınca, işletmecilere bir önceki takvim yılındaki net satışlarının yüzde üçüne kadar; ikinci fıkrası uyarınca, bin liradan bir milyon liraya kadar idari para cezası verileceğinin; Tütün ve Alkol Piyasası Düzenleme Kurulu’nca, 4733 sayılı Tütün ve Alkol Piyasası Düzenleme Kurumu Teşkilat ve Görevleri Hakkında Kanun’un 8. maddesinin ikinci fıkrası uyarınca, duruma göre “50.000 TL - 250.000 TL”, “10.000 TL - 50.000 TL”, “50.000 TL - 500.000 TL” arasında idari para cezası verileceğinin belirtildiği görülmektedir. Bu örnekler çoğaltılabilir.</w:t>
      </w:r>
    </w:p>
    <w:p w:rsidR="002C48FA" w:rsidRPr="002C48FA" w:rsidRDefault="002C48FA" w:rsidP="002C48FA">
      <w:pPr>
        <w:pStyle w:val="Gvdemetni50"/>
        <w:widowControl/>
        <w:shd w:val="clear" w:color="auto" w:fill="auto"/>
        <w:tabs>
          <w:tab w:val="left" w:pos="1134"/>
        </w:tabs>
        <w:spacing w:before="100" w:beforeAutospacing="1" w:after="100" w:afterAutospacing="1" w:line="240" w:lineRule="auto"/>
        <w:ind w:firstLine="709"/>
        <w:rPr>
          <w:rFonts w:ascii="Times New Roman" w:hAnsi="Times New Roman" w:cs="Times New Roman"/>
          <w:b w:val="0"/>
          <w:i/>
          <w:sz w:val="24"/>
          <w:szCs w:val="26"/>
        </w:rPr>
      </w:pPr>
      <w:r>
        <w:rPr>
          <w:rFonts w:ascii="Times New Roman" w:hAnsi="Times New Roman" w:cs="Times New Roman"/>
          <w:b w:val="0"/>
          <w:i/>
          <w:sz w:val="24"/>
          <w:szCs w:val="26"/>
        </w:rPr>
        <w:t xml:space="preserve"> </w:t>
      </w:r>
      <w:r w:rsidRPr="002C48FA">
        <w:rPr>
          <w:rFonts w:ascii="Times New Roman" w:hAnsi="Times New Roman" w:cs="Times New Roman"/>
          <w:b w:val="0"/>
          <w:i/>
          <w:sz w:val="24"/>
          <w:szCs w:val="26"/>
        </w:rPr>
        <w:t xml:space="preserve">Somut olayda, bayilik lisansı sahibi olan davacıya, akaryakıt istasyonunda bağlı bulunduğu dağıtıcı dışında akaryakıt ikmal edildiğinden bahisle 170.000.-TL İdarî para cezası verildiği görülmektedir. Ortaya konulan bu tespit üzerine, düzenleyici kurum olan Enerji Piyasası Düzenleme Kurumu’nun, vereceği idari para cezasının miktarını belirleme imkânı bulunmamaktadır. Bir başka deyişle, fiil sübuta ermiş ise verilecek idari para cezası miktarı tektir. Bu bağlamda, yukarıda anılan fiili işleyenler açısından bir ayrım (işletmenin büyüklüğü, failin kusur durumu vd.) öngörülmediği gibi, ilgili maddede sayılan tüm durumlar için de uygulanan ceza miktarı aynıdır. </w:t>
      </w:r>
      <w:r w:rsidRPr="002C48FA">
        <w:rPr>
          <w:rStyle w:val="Gvdemetni2Kaln"/>
          <w:rFonts w:ascii="Times New Roman" w:hAnsi="Times New Roman" w:cs="Times New Roman"/>
          <w:i/>
          <w:sz w:val="24"/>
          <w:szCs w:val="26"/>
        </w:rPr>
        <w:t>Söz gelimi, ücra bir yerde olan, mevcut tek pompa ile faaliyet gösteren ve uygulanan idari para cezası miktarı kadar yıllık cirosu bulunmayan</w:t>
      </w:r>
      <w:r w:rsidRPr="002C48FA">
        <w:rPr>
          <w:rFonts w:ascii="Times New Roman" w:hAnsi="Times New Roman" w:cs="Times New Roman"/>
          <w:b w:val="0"/>
          <w:i/>
          <w:sz w:val="24"/>
          <w:szCs w:val="26"/>
        </w:rPr>
        <w:t xml:space="preserve"> bir akaryakıt istasyonu ile büyük ölçekteki bir akaryakıt istasyonunda dağıtıcı dışında akaryakıt ikmal edilmesi hâlinde, 8. maddeye aykırılık nedeniyle verilen ceza miktarı aynıdır. Bunun yanı sıra, uygulanacak İdarî para cezası miktarının tespiti bakımından, akaryakıt ikmalinin ne şekilde yapıldığı (söz gelimi, aynı dağıtıcıya bağlı olan bir başka bayiden ikmal yapılması, bir başka dağıtıcıya bağlı bayiden ikmal yapılması veya akaryakıtın menşeinin belli olup olmaması vb.), ikmal edilen akaryakıtın miktarı </w:t>
      </w:r>
      <w:r w:rsidRPr="002C48FA">
        <w:rPr>
          <w:rStyle w:val="Gvdemetni5KalnDeil"/>
          <w:rFonts w:ascii="Times New Roman" w:hAnsi="Times New Roman" w:cs="Times New Roman"/>
          <w:i/>
          <w:sz w:val="24"/>
          <w:szCs w:val="26"/>
        </w:rPr>
        <w:t>gibi hususların bir öneminin bulunmadığı görülmektedir.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lastRenderedPageBreak/>
        <w:t xml:space="preserve"> </w:t>
      </w:r>
      <w:r w:rsidRPr="002C48FA">
        <w:rPr>
          <w:rFonts w:ascii="Times New Roman" w:hAnsi="Times New Roman" w:cs="Times New Roman"/>
          <w:i/>
          <w:sz w:val="24"/>
          <w:szCs w:val="26"/>
        </w:rPr>
        <w:t>Bu itibarla, yukarıda anılan fiili işleyenlerin, ekonomik büyüklüğü ve sınıfına göre adil bir denge gözetilmeden, itiraz konusu kuralla ölçülü ve makul olmayan idari para cezası ile karşı karşıya bırakılmaları, hukuk devletinin gereği olan “adalet” ve “hakkaniyet” ilkeleriyle bağdaşmamaktadır.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Öte yandan, 5015 sayılı Kanun’un 19. maddesinin ikinci fıkrasının (d) bendinde, 8’ inci maddenin ihlâli hâlinde bayiler için (c) bendinde yer alan cezanın beşte birinin uygulanacağı belirtilmiş ve bayilik lisansı sahipleri ile diğer lisans sahipleri arasında bir ayrım yapılmış olmakla birlikte, bayiler arasında herhangi bir ayrım gözetilmeden aynı cezanın verilmesi sonucunu doğuran kuralın ölçülü olmadığı açıktır.</w:t>
      </w:r>
    </w:p>
    <w:p w:rsidR="002C48FA" w:rsidRPr="002C48FA" w:rsidRDefault="002C48FA" w:rsidP="002C48FA">
      <w:pPr>
        <w:pStyle w:val="Gvdemetni20"/>
        <w:widowControl/>
        <w:shd w:val="clear" w:color="auto" w:fill="auto"/>
        <w:tabs>
          <w:tab w:val="left" w:pos="1134"/>
        </w:tabs>
        <w:spacing w:before="100" w:beforeAutospacing="1" w:after="100" w:afterAutospacing="1" w:line="240" w:lineRule="auto"/>
        <w:ind w:firstLine="709"/>
        <w:rPr>
          <w:rFonts w:ascii="Times New Roman" w:hAnsi="Times New Roman" w:cs="Times New Roman"/>
          <w:i/>
          <w:sz w:val="24"/>
          <w:szCs w:val="26"/>
        </w:rPr>
      </w:pPr>
      <w:r>
        <w:rPr>
          <w:rFonts w:ascii="Times New Roman" w:hAnsi="Times New Roman" w:cs="Times New Roman"/>
          <w:i/>
          <w:sz w:val="24"/>
          <w:szCs w:val="26"/>
        </w:rPr>
        <w:t xml:space="preserve"> </w:t>
      </w:r>
      <w:r w:rsidRPr="002C48FA">
        <w:rPr>
          <w:rFonts w:ascii="Times New Roman" w:hAnsi="Times New Roman" w:cs="Times New Roman"/>
          <w:i/>
          <w:sz w:val="24"/>
          <w:szCs w:val="26"/>
        </w:rPr>
        <w:t xml:space="preserve">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5015 sayılı Petrol Piyasası Kanunu’nun “İdarî para cezaları” başlıklı 6455 sayılı Kanun’un 44. maddesiyle değişik 19. maddesinin ikinci fıkrasının (c) bendinde yer alan “Aşağıdaki hâllerde, sorumlulara sekiz yüz elli bin Türk Lirası İdarî para cezası verilir:” kuralının, (3) numaralı alt bendindeki “8. maddenin ihlâli” yönünden Anayasa’nın 2. maddesine aykırı olduğu kanısına ulaşılması nedeniyle bu kuralın iptali için Anayasa Mahkemesi’ne başvurulmasına; bu kuralın Anayasa’ya aykırılığı ve uygulanması durumunda telafisi güç veya imkânsız zararlar doğabileceği gözetilerek esas hakkında bir karar verilinceye kadar yürürlüğünün durdurulmasının istenilmesine;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w:t>
      </w:r>
      <w:r w:rsidRPr="002C48FA">
        <w:rPr>
          <w:rStyle w:val="Gvdemetni2Kaln"/>
          <w:rFonts w:ascii="Times New Roman" w:hAnsi="Times New Roman" w:cs="Times New Roman"/>
          <w:b w:val="0"/>
          <w:i/>
          <w:sz w:val="24"/>
          <w:szCs w:val="26"/>
        </w:rPr>
        <w:t xml:space="preserve">ANAYASA MAHKEMESİ BAŞKANLIĞI’NA GÖNDERİLMESİNE, </w:t>
      </w:r>
      <w:r w:rsidRPr="002C48FA">
        <w:rPr>
          <w:rFonts w:ascii="Times New Roman" w:hAnsi="Times New Roman" w:cs="Times New Roman"/>
          <w:i/>
          <w:sz w:val="24"/>
          <w:szCs w:val="26"/>
        </w:rPr>
        <w:t>26.10.2015 tarihinde oybirliğiyle karar verildi.”</w:t>
      </w:r>
    </w:p>
    <w:p w:rsidR="001D02E4" w:rsidRPr="002C48FA" w:rsidRDefault="001D02E4" w:rsidP="002C48FA">
      <w:pPr>
        <w:widowControl/>
        <w:spacing w:before="100" w:beforeAutospacing="1" w:after="100" w:afterAutospacing="1"/>
        <w:ind w:firstLine="709"/>
        <w:jc w:val="both"/>
        <w:rPr>
          <w:rFonts w:ascii="Times New Roman" w:hAnsi="Times New Roman" w:cs="Times New Roman"/>
        </w:rPr>
      </w:pPr>
    </w:p>
    <w:sectPr w:rsidR="001D02E4" w:rsidRPr="002C48FA" w:rsidSect="002C48FA">
      <w:headerReference w:type="default" r:id="rId6"/>
      <w:footerReference w:type="even" r:id="rId7"/>
      <w:footerReference w:type="default" r:id="rId8"/>
      <w:headerReference w:type="first" r:id="rId9"/>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49" w:rsidRDefault="00DD7649" w:rsidP="002C48FA">
      <w:r>
        <w:separator/>
      </w:r>
    </w:p>
  </w:endnote>
  <w:endnote w:type="continuationSeparator" w:id="0">
    <w:p w:rsidR="00DD7649" w:rsidRDefault="00DD7649" w:rsidP="002C4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FA" w:rsidRDefault="002C48FA" w:rsidP="00D558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323F" w:rsidRDefault="00DD7649" w:rsidP="002C48FA">
    <w:pPr>
      <w:pStyle w:val="Altbilgi"/>
      <w:ind w:right="360"/>
      <w:jc w:val="center"/>
    </w:pPr>
  </w:p>
  <w:p w:rsidR="00D3323F" w:rsidRDefault="00DD76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FA" w:rsidRPr="002C48FA" w:rsidRDefault="002C48FA" w:rsidP="00D558CE">
    <w:pPr>
      <w:pStyle w:val="Altbilgi"/>
      <w:framePr w:wrap="around" w:vAnchor="text" w:hAnchor="margin" w:xAlign="right" w:y="1"/>
      <w:rPr>
        <w:rStyle w:val="SayfaNumaras"/>
        <w:rFonts w:ascii="Times New Roman" w:hAnsi="Times New Roman" w:cs="Times New Roman"/>
      </w:rPr>
    </w:pPr>
    <w:r w:rsidRPr="002C48FA">
      <w:rPr>
        <w:rStyle w:val="SayfaNumaras"/>
        <w:rFonts w:ascii="Times New Roman" w:hAnsi="Times New Roman" w:cs="Times New Roman"/>
      </w:rPr>
      <w:fldChar w:fldCharType="begin"/>
    </w:r>
    <w:r w:rsidRPr="002C48FA">
      <w:rPr>
        <w:rStyle w:val="SayfaNumaras"/>
        <w:rFonts w:ascii="Times New Roman" w:hAnsi="Times New Roman" w:cs="Times New Roman"/>
      </w:rPr>
      <w:instrText xml:space="preserve">PAGE  </w:instrText>
    </w:r>
    <w:r w:rsidRPr="002C48F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C48FA">
      <w:rPr>
        <w:rStyle w:val="SayfaNumaras"/>
        <w:rFonts w:ascii="Times New Roman" w:hAnsi="Times New Roman" w:cs="Times New Roman"/>
      </w:rPr>
      <w:fldChar w:fldCharType="end"/>
    </w:r>
  </w:p>
  <w:p w:rsidR="00D3323F" w:rsidRPr="002C48FA" w:rsidRDefault="00DD7649" w:rsidP="002C48FA">
    <w:pPr>
      <w:pStyle w:val="Altbilgi"/>
      <w:ind w:right="360"/>
      <w:jc w:val="center"/>
      <w:rPr>
        <w:rFonts w:ascii="Times New Roman" w:hAnsi="Times New Roman" w:cs="Times New Roman"/>
      </w:rPr>
    </w:pPr>
  </w:p>
  <w:p w:rsidR="00D3323F" w:rsidRPr="002C48FA" w:rsidRDefault="00DD7649">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49" w:rsidRDefault="00DD7649" w:rsidP="002C48FA">
      <w:r>
        <w:separator/>
      </w:r>
    </w:p>
  </w:footnote>
  <w:footnote w:type="continuationSeparator" w:id="0">
    <w:p w:rsidR="00DD7649" w:rsidRDefault="00DD7649" w:rsidP="002C48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48FA" w:rsidRPr="00256DE4" w:rsidRDefault="002C48FA" w:rsidP="002C48FA">
    <w:pPr>
      <w:widowControl/>
      <w:shd w:val="clear" w:color="auto" w:fill="FFFFFF"/>
      <w:jc w:val="both"/>
      <w:rPr>
        <w:rFonts w:ascii="Times New Roman" w:eastAsia="Times New Roman" w:hAnsi="Times New Roman" w:cs="Times New Roman"/>
        <w:b/>
        <w:bCs/>
        <w:shd w:val="clear" w:color="auto" w:fill="FFFFFF"/>
      </w:rPr>
    </w:pPr>
    <w:r w:rsidRPr="00256DE4">
      <w:rPr>
        <w:rFonts w:ascii="Times New Roman" w:eastAsia="Times New Roman" w:hAnsi="Times New Roman" w:cs="Times New Roman"/>
        <w:b/>
        <w:bCs/>
        <w:shd w:val="clear" w:color="auto" w:fill="FFFFFF"/>
      </w:rPr>
      <w:t>Esas Sayısı       :  2015/109</w:t>
    </w:r>
  </w:p>
  <w:p w:rsidR="002C48FA" w:rsidRPr="00256DE4" w:rsidRDefault="002C48FA" w:rsidP="002C48FA">
    <w:pPr>
      <w:widowControl/>
      <w:shd w:val="clear" w:color="auto" w:fill="FFFFFF"/>
      <w:jc w:val="both"/>
      <w:rPr>
        <w:rFonts w:ascii="Times New Roman" w:eastAsia="Times New Roman" w:hAnsi="Times New Roman" w:cs="Times New Roman"/>
        <w:b/>
        <w:bCs/>
        <w:shd w:val="clear" w:color="auto" w:fill="FFFFFF"/>
      </w:rPr>
    </w:pPr>
    <w:r w:rsidRPr="00256DE4">
      <w:rPr>
        <w:rFonts w:ascii="Times New Roman" w:eastAsia="Times New Roman" w:hAnsi="Times New Roman" w:cs="Times New Roman"/>
        <w:b/>
        <w:bCs/>
        <w:shd w:val="clear" w:color="auto" w:fill="FFFFFF"/>
      </w:rPr>
      <w:t>Karar Sayısı    :  2016/28</w:t>
    </w:r>
  </w:p>
  <w:p w:rsidR="006F464D" w:rsidRPr="002C48FA" w:rsidRDefault="00DD7649" w:rsidP="002C48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64D" w:rsidRDefault="00DD7649" w:rsidP="006F464D">
    <w:pPr>
      <w:pStyle w:val="stbilgi"/>
      <w:rPr>
        <w:rFonts w:ascii="Times New Roman" w:hAnsi="Times New Roman" w:cs="Times New Roman"/>
        <w:b/>
        <w:sz w:val="18"/>
        <w:szCs w:val="18"/>
      </w:rPr>
    </w:pPr>
  </w:p>
  <w:p w:rsidR="006F464D" w:rsidRDefault="00DD7649" w:rsidP="006F464D">
    <w:pPr>
      <w:pStyle w:val="stbilgi"/>
      <w:rPr>
        <w:rFonts w:ascii="Times New Roman" w:hAnsi="Times New Roman" w:cs="Times New Roman"/>
        <w:b/>
        <w:sz w:val="18"/>
        <w:szCs w:val="18"/>
      </w:rPr>
    </w:pPr>
  </w:p>
  <w:p w:rsidR="006F464D" w:rsidRPr="00D3323F" w:rsidRDefault="00DD7649" w:rsidP="006F464D">
    <w:pPr>
      <w:pStyle w:val="stbilgi"/>
      <w:rPr>
        <w:rFonts w:ascii="Times New Roman" w:hAnsi="Times New Roman" w:cs="Times New Roman"/>
        <w:b/>
        <w:sz w:val="18"/>
        <w:szCs w:val="18"/>
      </w:rPr>
    </w:pPr>
    <w:r w:rsidRPr="00D3323F">
      <w:rPr>
        <w:rFonts w:ascii="Times New Roman" w:hAnsi="Times New Roman" w:cs="Times New Roman"/>
        <w:b/>
        <w:sz w:val="18"/>
        <w:szCs w:val="18"/>
      </w:rPr>
      <w:t xml:space="preserve">Esas Sayısı </w:t>
    </w:r>
    <w:r>
      <w:rPr>
        <w:rFonts w:ascii="Times New Roman" w:hAnsi="Times New Roman" w:cs="Times New Roman"/>
        <w:b/>
        <w:sz w:val="18"/>
        <w:szCs w:val="18"/>
      </w:rPr>
      <w:t xml:space="preserve">   </w:t>
    </w:r>
    <w:r w:rsidRPr="00D3323F">
      <w:rPr>
        <w:rFonts w:ascii="Times New Roman" w:hAnsi="Times New Roman" w:cs="Times New Roman"/>
        <w:b/>
        <w:sz w:val="18"/>
        <w:szCs w:val="18"/>
      </w:rPr>
      <w:t>: 2015/109</w:t>
    </w:r>
  </w:p>
  <w:p w:rsidR="006F464D" w:rsidRPr="00D3323F" w:rsidRDefault="00DD7649" w:rsidP="006F464D">
    <w:pPr>
      <w:pStyle w:val="stbilgi"/>
      <w:rPr>
        <w:rFonts w:ascii="Times New Roman" w:hAnsi="Times New Roman" w:cs="Times New Roman"/>
        <w:b/>
        <w:sz w:val="18"/>
        <w:szCs w:val="18"/>
      </w:rPr>
    </w:pPr>
    <w:r w:rsidRPr="00D3323F">
      <w:rPr>
        <w:rFonts w:ascii="Times New Roman" w:hAnsi="Times New Roman" w:cs="Times New Roman"/>
        <w:b/>
        <w:sz w:val="18"/>
        <w:szCs w:val="18"/>
      </w:rPr>
      <w:t>Karar Sayısı : 2016/</w:t>
    </w:r>
    <w:r>
      <w:rPr>
        <w:rFonts w:ascii="Times New Roman" w:hAnsi="Times New Roman" w:cs="Times New Roman"/>
        <w:b/>
        <w:sz w:val="18"/>
        <w:szCs w:val="18"/>
      </w:rPr>
      <w:t>28</w:t>
    </w:r>
  </w:p>
  <w:p w:rsidR="00D3323F" w:rsidRPr="00D3323F" w:rsidRDefault="00DD7649">
    <w:pPr>
      <w:pStyle w:val="stbilgi"/>
      <w:rPr>
        <w:rFonts w:ascii="Times New Roman" w:hAnsi="Times New Roman" w:cs="Times New Roman"/>
        <w:b/>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8FA"/>
    <w:rsid w:val="001D02E4"/>
    <w:rsid w:val="002C48FA"/>
    <w:rsid w:val="00DD7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49FA3-7AB6-47D3-B732-FB46364B4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48FA"/>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5">
    <w:name w:val="Gövde metni (5)_"/>
    <w:basedOn w:val="VarsaylanParagrafYazTipi"/>
    <w:link w:val="Gvdemetni50"/>
    <w:rsid w:val="002C48FA"/>
    <w:rPr>
      <w:rFonts w:ascii="Arial" w:eastAsia="Arial" w:hAnsi="Arial" w:cs="Arial"/>
      <w:b/>
      <w:bCs/>
      <w:sz w:val="21"/>
      <w:szCs w:val="21"/>
      <w:shd w:val="clear" w:color="auto" w:fill="FFFFFF"/>
    </w:rPr>
  </w:style>
  <w:style w:type="character" w:customStyle="1" w:styleId="Gvdemetni2">
    <w:name w:val="Gövde metni (2)_"/>
    <w:basedOn w:val="VarsaylanParagrafYazTipi"/>
    <w:link w:val="Gvdemetni20"/>
    <w:rsid w:val="002C48FA"/>
    <w:rPr>
      <w:rFonts w:ascii="Arial" w:eastAsia="Arial" w:hAnsi="Arial" w:cs="Arial"/>
      <w:sz w:val="21"/>
      <w:szCs w:val="21"/>
      <w:shd w:val="clear" w:color="auto" w:fill="FFFFFF"/>
    </w:rPr>
  </w:style>
  <w:style w:type="character" w:customStyle="1" w:styleId="Gvdemetni2Kaln">
    <w:name w:val="Gövde metni (2) + Kalın"/>
    <w:basedOn w:val="Gvdemetni2"/>
    <w:rsid w:val="002C48FA"/>
    <w:rPr>
      <w:rFonts w:ascii="Arial" w:eastAsia="Arial" w:hAnsi="Arial" w:cs="Arial"/>
      <w:b/>
      <w:bCs/>
      <w:color w:val="000000"/>
      <w:spacing w:val="0"/>
      <w:w w:val="100"/>
      <w:position w:val="0"/>
      <w:sz w:val="21"/>
      <w:szCs w:val="21"/>
      <w:shd w:val="clear" w:color="auto" w:fill="FFFFFF"/>
      <w:lang w:val="tr-TR" w:eastAsia="tr-TR" w:bidi="tr-TR"/>
    </w:rPr>
  </w:style>
  <w:style w:type="character" w:customStyle="1" w:styleId="Gvdemetni5KalnDeil">
    <w:name w:val="Gövde metni (5) + Kalın Değil"/>
    <w:basedOn w:val="Gvdemetni5"/>
    <w:rsid w:val="002C48FA"/>
    <w:rPr>
      <w:rFonts w:ascii="Arial" w:eastAsia="Arial" w:hAnsi="Arial" w:cs="Arial"/>
      <w:b/>
      <w:bCs/>
      <w:color w:val="000000"/>
      <w:spacing w:val="0"/>
      <w:w w:val="100"/>
      <w:position w:val="0"/>
      <w:sz w:val="21"/>
      <w:szCs w:val="21"/>
      <w:shd w:val="clear" w:color="auto" w:fill="FFFFFF"/>
      <w:lang w:val="tr-TR" w:eastAsia="tr-TR" w:bidi="tr-TR"/>
    </w:rPr>
  </w:style>
  <w:style w:type="paragraph" w:customStyle="1" w:styleId="Gvdemetni50">
    <w:name w:val="Gövde metni (5)"/>
    <w:basedOn w:val="Normal"/>
    <w:link w:val="Gvdemetni5"/>
    <w:rsid w:val="002C48FA"/>
    <w:pPr>
      <w:shd w:val="clear" w:color="auto" w:fill="FFFFFF"/>
      <w:spacing w:line="322" w:lineRule="exact"/>
      <w:jc w:val="both"/>
    </w:pPr>
    <w:rPr>
      <w:rFonts w:ascii="Arial" w:eastAsia="Arial" w:hAnsi="Arial" w:cs="Arial"/>
      <w:b/>
      <w:bCs/>
      <w:color w:val="auto"/>
      <w:sz w:val="21"/>
      <w:szCs w:val="21"/>
      <w:lang w:eastAsia="en-US" w:bidi="ar-SA"/>
    </w:rPr>
  </w:style>
  <w:style w:type="paragraph" w:customStyle="1" w:styleId="Gvdemetni20">
    <w:name w:val="Gövde metni (2)"/>
    <w:basedOn w:val="Normal"/>
    <w:link w:val="Gvdemetni2"/>
    <w:rsid w:val="002C48FA"/>
    <w:pPr>
      <w:shd w:val="clear" w:color="auto" w:fill="FFFFFF"/>
      <w:spacing w:line="322" w:lineRule="exact"/>
      <w:jc w:val="both"/>
    </w:pPr>
    <w:rPr>
      <w:rFonts w:ascii="Arial" w:eastAsia="Arial" w:hAnsi="Arial" w:cs="Arial"/>
      <w:color w:val="auto"/>
      <w:sz w:val="21"/>
      <w:szCs w:val="21"/>
      <w:lang w:eastAsia="en-US" w:bidi="ar-SA"/>
    </w:rPr>
  </w:style>
  <w:style w:type="paragraph" w:styleId="stbilgi">
    <w:name w:val="header"/>
    <w:basedOn w:val="Normal"/>
    <w:link w:val="stbilgiChar"/>
    <w:uiPriority w:val="99"/>
    <w:unhideWhenUsed/>
    <w:rsid w:val="002C48FA"/>
    <w:pPr>
      <w:tabs>
        <w:tab w:val="center" w:pos="4536"/>
        <w:tab w:val="right" w:pos="9072"/>
      </w:tabs>
    </w:pPr>
  </w:style>
  <w:style w:type="character" w:customStyle="1" w:styleId="stbilgiChar">
    <w:name w:val="Üstbilgi Char"/>
    <w:basedOn w:val="VarsaylanParagrafYazTipi"/>
    <w:link w:val="stbilgi"/>
    <w:uiPriority w:val="99"/>
    <w:rsid w:val="002C48FA"/>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C48FA"/>
    <w:pPr>
      <w:tabs>
        <w:tab w:val="center" w:pos="4536"/>
        <w:tab w:val="right" w:pos="9072"/>
      </w:tabs>
    </w:pPr>
  </w:style>
  <w:style w:type="character" w:customStyle="1" w:styleId="AltbilgiChar">
    <w:name w:val="Altbilgi Char"/>
    <w:basedOn w:val="VarsaylanParagrafYazTipi"/>
    <w:link w:val="Altbilgi"/>
    <w:uiPriority w:val="99"/>
    <w:rsid w:val="002C48FA"/>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2C4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1399</Words>
  <Characters>7979</Characters>
  <Application>Microsoft Office Word</Application>
  <DocSecurity>0</DocSecurity>
  <Lines>66</Lines>
  <Paragraphs>18</Paragraphs>
  <ScaleCrop>false</ScaleCrop>
  <Company/>
  <LinksUpToDate>false</LinksUpToDate>
  <CharactersWithSpaces>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2019-03-18T08:07:00Z</dcterms:created>
  <dcterms:modified xsi:type="dcterms:W3CDTF">2019-03-18T08:09:00Z</dcterms:modified>
</cp:coreProperties>
</file>