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“2709 Kanun numaralı Türkiye Cumhuriyeti Anayasasının “Anayasaya aykırılığın diğer mahkemelerde ileri sürülmesi” başlıklı 152 nci maddesinde;</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Mahkeme, Anayasaya aykırılık iddiasını ciddi görmezse bu iddia temyiz merciince esas hükümle birlikte karara bağlanır.</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Anayasa Mahkemesinin işin esasına girerek verdiği red kararının Resmi Gazetede yayımlanmasından sonra on yıl geçmedikçe aynı kanun hükmünün Anayasaya aykırılığı iddiasıyla tekrar başvuruda bulunulamaz.”,</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i w:val="0"/>
          <w:sz w:val="24"/>
          <w:szCs w:val="26"/>
        </w:rPr>
      </w:pPr>
      <w:r>
        <w:rPr>
          <w:sz w:val="24"/>
          <w:szCs w:val="26"/>
        </w:rPr>
        <w:t xml:space="preserve"> </w:t>
      </w:r>
      <w:r w:rsidRPr="00736E1D">
        <w:rPr>
          <w:i w:val="0"/>
          <w:sz w:val="24"/>
          <w:szCs w:val="26"/>
        </w:rPr>
        <w:t>6216 sayılı Anayasa Mahkemesinin Kuruluşu ve Yargılama Usulleri Hakkında Kanunun</w:t>
      </w:r>
      <w:r w:rsidRPr="00736E1D">
        <w:rPr>
          <w:sz w:val="24"/>
          <w:szCs w:val="26"/>
        </w:rPr>
        <w:t xml:space="preserve"> </w:t>
      </w:r>
      <w:r w:rsidRPr="00736E1D">
        <w:rPr>
          <w:i w:val="0"/>
          <w:sz w:val="24"/>
          <w:szCs w:val="26"/>
        </w:rPr>
        <w:t>“</w:t>
      </w:r>
      <w:r w:rsidRPr="00736E1D">
        <w:rPr>
          <w:rStyle w:val="Gvdemetni2talik"/>
          <w:rFonts w:eastAsia="Arial Unicode MS"/>
          <w:szCs w:val="26"/>
        </w:rPr>
        <w:t>Anayasaya aykırılığın mahkemelerce ileri sürülmesi”</w:t>
      </w:r>
      <w:r w:rsidRPr="00736E1D">
        <w:rPr>
          <w:i w:val="0"/>
          <w:sz w:val="24"/>
          <w:szCs w:val="26"/>
        </w:rPr>
        <w:t xml:space="preserve"> başlıklı 40 inci maddesinde ise; </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“(1) Bir davaya bakmakta olan mahkeme, bu davada uygulanacak bir kanun veya kanun hükmünde kararnamenin hükümlerini Anayasaya aykırı görürse veya taraflardan birinin ileri sürdüğü aykırılık iddiasının ciddi olduğu kanısına varırsa;</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a) İptali istenen kuralların Anayasanın hangi maddelerine aykırı olduklarını açıklayan gerekçeli başvuru kararının aslını,</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b) Başvuru kararına ilişkin tutanağın onaylı örneğini,</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c) Dava dilekçesi, iddianame veya davayı açan belgeler ile dosyanın ilgili bölümlerinin onaylı örneklerini,</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dizi listesine bağlayarak Anayasa Mahkemesine gönderir.</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(2) Taraflarca ileri sürülen Anayasaya aykırılık iddiası davaya bakan mahkemece ciddi görülmezse bu konudaki talep, gerekçeleri de gösterilmek suretiyle reddedilir. Bu husus esas hükümle birlikte temyiz konusu yapılabilir.</w:t>
      </w:r>
      <w:r>
        <w:rPr>
          <w:sz w:val="24"/>
          <w:szCs w:val="26"/>
        </w:rPr>
        <w:t xml:space="preserve"> </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(3) Genel Sekreterlik gelen evrakı kaleme havale eder ve keyfiyeti başvuran mahkemeye bir yazı ile bildirir.</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(4) Evrakın kayda girişinden itibaren on gün içinde başvurunun yöntemine uygun olup olmadığı incelenir. Açık bir şekilde dayanaktan yoksun veya yöntemine uygun olmayan itiraz başvuruları, Mahkeme tarafından esas incelemeye geçilmeksizin gerekçeleriyle reddedilir.</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736E1D">
        <w:rPr>
          <w:sz w:val="24"/>
          <w:szCs w:val="26"/>
        </w:rPr>
        <w:t>(5) Anayasa Mahkemesi, işin kendisine noksansız olarak gelişinden başlamak üzere beş ay içinde kararını verir ve açıklar. Bu süre içinde karar verilmezse ilgili mahkeme davayı yürürlükteki hükümlere göre sonuçlandırır. Ancak, Anayasa Mahkemesinin kararı, esas hakkındaki karar kesinleşinceye kadar gelirse mahkeme buna uymak zorundadır.”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hükümlerine yer verilmiştir.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Yukarıda anılan hükümler gereğince, mahkeme bakmakta olduğu davada uygulayacağı kanun ya da kanun hükmünde kararname hükümlerini Anayasaya aykırı görür veya taraflardan birinin ileri sürdüğü aykırılık iddiasının ciddi olduğu kanısına varırsa, o hükmün iptali için Anayasa Mahkemesine başvurmaya yetkilidir.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Bu çerçevede, Düzce Üniversitesi 2014 yılı Yargı Raporunun 30 uncu maddesinin, 6085 sayılı Sayıştay Kanununun 23 üncü maddesinde hesap mahkemesi olarak tanımlanan Sayıştay Dairemizde görüşülmesinde; raporu hazırlayan denetçi tarafından Düzce Üniversitesi Döner Sermaye Saymanlık Müdürlüğü ile Döner Sermaye İşletme Müdürlüğünde görevli personele, 2547 sayılı Yükseköğretim Kanununun “Döner Sermaye” başlıklı 58 inci maddesine aykırı bir surette ek ödeme yapılması sonucu kamu zararına neden olunduğunun iddia edildiği görülmüştür.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Yargı raporunun 30 uncu maddesinde Sayıştay Denetçisi; tıp fakülteleri ile bunlara bağlı hastanelerde elde edilen döner sermaye gelirlerinden, döner sermaye işletme müdürlüğü ve döner sermaye saymanlık müdürlüğü personeline ek ödemede bulunulması evvelce mümkün iken; 02.11.2011 tarihli ve 28103 mükerrer sayılı Resmi Gazetede yayımlanan 666 sayılı Kanun Hükmünde Kararnamenin 1 inci maddesiyle bunu mümkün kılan ibarenin yürürlükten kaldırılmış olması ve fakat Anayasa Mahkemesinin 2012/205 sayılı kararı ile 666 sayılı KHK ile 2547 sayılı Kanunun 58 inci maddesinin (c) fıkrasının ikinci bendinde yapılan bu düzenlemenin iptal edilmiş olması sonrasında da yeni bir düzenleme yapılmamış olması nedeniyle, ilgili Kanun metninin son halinde adı geçenlere ek ödemede bulunulmasına imkan veren herhangi bir ibare yer almadığından, sözkonusu personele ek ödeme yapılması sonucu kamu zararına sebebiyet verildiği iddiasında bulunmaktadır.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Sorumlular ise savunmalarında, Döner Sermaye Saymanlık Müdürlüğü ve Döner Sermaye İşletme Müdürlüğü personeline 2547 sayılı Yükseköğretim Kanununun 58 inci maddesinin (c) fıkrası ile döner sermaye katkı payı ödenmekte iken, 666 sayılı Kanun Hükmünde Kararnamenin 1 inci maddesiyle 27.06.1989 tarihli ve 375 sayılı Kanun Hükmünde Kararnameye eklenen Ek 12 nci maddenin 2 nci fıkrasının (g) bendi ile Döner Sermaye İşletme Müdürlüğü ve Döner Sermaye Saymanlık Müdürlüğü personeline katkı payı ödemesine son verildiğini; 666 sayılı Kanun Hükmünde Kararnamenin sözkonusu hükmünün. Anayasa Mahkemesinin 10.10.2013 tarih ve 28791 sayılı Resmi Gazetede yayımlanan 27.12.2012 tarihli ve E:2011/139, K:2012/205 sayılı kararı ile iptal edilmesi sonucu 666 sayılı Kanun Hükmünde Kararnameyle 375 sayılı Kanun Hükmünde Kararnameye eklenen ek 12 nci maddesinin 2 nci fıkrasının (g) bendinin kaldırıldığını; dolayısıyla Döner Sermaye İşletme Müdürlüğü ve Döner Sermaye Saymanlık Müdürlüğü personeline katkı payı ödenmesine son veren 666 sayılı Kararnamedeki düzenlemenin hükümsüz hale geldiğini; Anayasa Mahkemesinin kararı ve konuya ilişkin İdare Mahkemesi kararlarının değerlendirilmesi sonucu bu Kararın yürürlüğe girdiği tarih itibariyle hak kaybına uğrayan Döner Sermaye İşletme Müdürlüğü ve Döner Sermaye Saymanlık Müdürlüğü personeline döner sermaye ödemesi yapılması gerektiğine karar verildiğini ve bu çerçevede ödeme yapıldığım ifade etmişlerdir.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736E1D">
        <w:rPr>
          <w:sz w:val="24"/>
          <w:szCs w:val="26"/>
        </w:rPr>
        <w:t>Sorumluların savunmaları üzerine yazılan raporun “Sonuç” bölümünde Sayıştay Denetçisince savunmalar uyarınca konu hakkında ilişik kalmadığı ve yapılan işlemlerin mevzuata uygun olduğu belirtilmekte ise de, konunun Dairemizce incelenmesi neticesinde 666 sayılı Kanun Hükmüne Kararnamenin Anayasa Mahkemesi Kararı ile iptal edilen ve başvuru konusu olmaması nedeni ile iptal edilmeyen hükümlerinin uygulamada çeşitli tereddütlere yol açtığı görülmüş, Kararnamenin konuyla ilgili doğrudan mali sonuç doğuran diğer bazı hükümlerinin de 6223 sayılı Yetki Kanununa ve Anayasanın 91 inci maddesine aykırı olduğu sonucuna ulaşılmıştır.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2547 sayılı Yükseköğretim Kanununun “Döner Sermaye” başlıklı 58 inci maddesi (e) fıkrasının 666 sayılı Kanun Hükmünde Kararnamenin 1 inci maddesiyle değiştirilmeden önceki halinde aynen;</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c) Tıp ve diş hekimliği fakülteleri ile sağlık uygulama ve araştırma merkezlerinin hesabında toplanan döner sermaye gelirleri bakiyesinden, bu yerlerde;</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1) Gelir getiren görevlerde çalışan öğretim üyesi ve öğretim görevlilerine aylık (ek gösterge dahil), yan ödeme, ödenek (geliştirme ödeneği hariç) ve her türlü tazminat (28/3/1983 tarihli ve 2809 sayılı Kanunun geçici 3 üncü maddesinin beşinci fıkrası uyarınca ödenen tazminat dahil, makam, temsil ve görev tazminatı ile yabancı dil tazminatı hariç) toplamından oluşan ek ödeme matrahının yüzde 800’iinü, araştırma görevlilerine ise yüzde 500’ünü; bu yerlerde görevli olmakla birlikte gelire katkısı olmayan öğretim üyesi ve öğretim görevlilerine yüzde 600’ünü, araştırma görevlilerine ise yüzde 300’ünü,</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 xml:space="preserve">2) Diğer öğretim elemanlarına ve 657 sayılı Devlet Memurları Kanununa tabi personel (döner sermaye işletme müdürlüğü ve döner sermaye saymanlık personeli dahil) ile aynı Kanunun 4 üncü maddesinin (B) bendine göre sözleşmeli olarak çalışan personele ek ödeme matrahının; uzman tabipler için yüzde 600’ünü, hastaneler başmüdürü ve eczacılar için yüzde 250’sini, başhemşireler için yüzde 200’ünü, diğer öğretim elemanları ile diğer personel için yüzde 150’sini, işin ve hizmetin özelliği dikkate alınarak yoğun bakım, doğumhane, yeni doğan, süt çocuğu, yanık, diyaliz, ameliyathane, enfeksiyon, özel bakım gerektiren ruh sağlığı, organ ve doku nakli, acil servis ve benzeri sağlık hizmetlerinde çalışan personel için yüzde 200’ünü geçmeyecek şekilde aylık ek ödeme yapılır. Sözleşmeli personele yapılacak ek ödeme matrahı, sözleşmeli personelin çalıştığı birim ve bulunduğu pozisyon unvanı itibarıyla aynı veya benzer unvanlı memur kadrosunda çalışan, hizmet yılı ve öğrenim durumu aynı olan emsali personel dikkate alınarak belirlenir. Emsali bulunmayan sözleşmeli personelin ek ödeme matrahı ise brüt sözleşme ücretlerinin yüzde 25’ini geçemez. ” </w:t>
      </w:r>
      <w:r w:rsidRPr="00736E1D">
        <w:rPr>
          <w:rStyle w:val="Gvdemetni6talikdeil"/>
          <w:szCs w:val="26"/>
        </w:rPr>
        <w:t>hükmü bulunmaktaydı.</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666 sayılı Kamu Görevlilerinin Mali Haklarının Düzenlenmesi Amacıyla Bazı Kanun ve Kanun Hükmünde Kararnamelerde Değişiklik Yapılmasına Dair Kanun Hükmünde Kararnamenin 1 inci maddesinde ise aynen;</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“27/6/1989 tarihli ve 375 sayılı Kanun Hükmünde Kararnameye aşağıdaki ek maddeler eklenmiştir.</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 xml:space="preserve">“EK MADDE 9- Aylıklarını 657 sayılı Devlet Memurları Kanunu ile 2914 sayılı Yükseköğretim Personel Kanununa göre almakta olan personele, 399 sayılı Kanun Hükmünde </w:t>
      </w:r>
      <w:r w:rsidRPr="00736E1D">
        <w:rPr>
          <w:sz w:val="24"/>
          <w:szCs w:val="26"/>
        </w:rPr>
        <w:lastRenderedPageBreak/>
        <w:t>Kararnameye ekli (II) sayılı Cetvele dahil pozisyonlarda istihdam edilen sözleşmeli personele, subay, sözleşmeli subay, astsubay, sözleşmeli astsubay, sözleşmeli subay ve astsubay adayları ile uzman jandarma ve uzman erbaşlara, mali haklar kapsamında yapılan her türlü ödemeler dahil almakta oldukları toplam ödeme tutarı dikkate alınmak suretiyle aynı veya benzer kadro ve görevlerde bulunan personel arasındaki ücret dengesini sağlamak amacıyla, en yüksek Devlet memuru aylığına (ek gösterge dahil), ekli (I) sayılı Cetvelde yer alan kadro ve görev unvanlarına karşılık gelen oranların uygulanması suretiyle hesaplanan tutarda ek ödeme yapılır.</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r>
        <w:rPr>
          <w:sz w:val="24"/>
          <w:szCs w:val="26"/>
        </w:rPr>
        <w:t xml:space="preserve"> </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Birinci fıkra kapsamına giren personelden; 4/1/1961 tarihli ve 209 sayılı Kanunun-5 inci maddesinin ikinci fıkrası, 4/11/1981 tarihli ve 2547 sayılı Kanunun 58 inci maddesinin (c) ve (f) fıkraları ve 14/4/1982 tarihli ve 2659 sayılı Kanunun 30 uncu maddesi kapsamında döner sermayeden ek ödeme yapılan personele, 27/7/1967 tarihli ve 926 sayılı Kanunun ek 17 nci maddesinin (Ç) fıkrası uyarınca sağlık hizmetleri tazminatı ödenen personele, 27/10/1999 tarihli ve 4458 sayılı Kanunun 221 inci maddesi, 16/5/2006 tarihli ve 5502 sayılı Kanunun 28 inci maddesinin sekizinci fıkrası ve 663 sayılı Kanun Hükmünde Kararnamenin 28 inci maddesinin dördüncü fıkrası uyarınca ödeme yapılan personele, sözkonusu mevzuat hükümlerine göre ödeme yapılmaya devam olunur ve bunlara bu maddeye göre ayrıca ek ödeme yapılmaz. Bu fıkra kapsamında yer alan idarelerin döner sermaye saymanlık hizmetlerini yürüten personele sözkonusu mevzuat uyarınca döner sermaye gelirlerinden herhangi bir ödeme yapılmaz.</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EK MADDE 12-1) ....</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sidRPr="00736E1D">
        <w:rPr>
          <w:sz w:val="24"/>
          <w:szCs w:val="26"/>
        </w:rPr>
        <w:t xml:space="preserve"> </w:t>
      </w:r>
      <w:r>
        <w:rPr>
          <w:sz w:val="24"/>
          <w:szCs w:val="26"/>
        </w:rPr>
        <w:t xml:space="preserve"> </w:t>
      </w:r>
      <w:r w:rsidRPr="00736E1D">
        <w:rPr>
          <w:sz w:val="24"/>
          <w:szCs w:val="26"/>
        </w:rPr>
        <w:t>2) 31/12/2011 tarihinden geçerli olmak üzere;</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g) 4/11/1981 tarihli ve 2547 sayılı Kanunun 58 inci maddesinin (c) fıkrasının (2) numaralı bendinde yer alan “(döner sermaye işletme müdürlüğü ve döner sermaye saymanlık personeli dahil)” ibaresi,</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yürürlükten kaldırılmıştır.</w:t>
      </w:r>
    </w:p>
    <w:p w:rsidR="00736E1D" w:rsidRPr="00736E1D" w:rsidRDefault="00736E1D" w:rsidP="00736E1D">
      <w:pPr>
        <w:pStyle w:val="Gvdemetni7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sz w:val="24"/>
          <w:szCs w:val="26"/>
        </w:rPr>
      </w:pPr>
      <w:r>
        <w:rPr>
          <w:rFonts w:ascii="Times New Roman" w:hAnsi="Times New Roman" w:cs="Times New Roman"/>
          <w:sz w:val="24"/>
          <w:szCs w:val="26"/>
        </w:rPr>
        <w:t xml:space="preserve"> </w:t>
      </w:r>
      <w:r w:rsidRPr="00736E1D">
        <w:rPr>
          <w:rFonts w:ascii="Times New Roman" w:hAnsi="Times New Roman" w:cs="Times New Roman"/>
          <w:sz w:val="24"/>
          <w:szCs w:val="26"/>
        </w:rPr>
        <w:t>…”</w:t>
      </w:r>
    </w:p>
    <w:p w:rsidR="00736E1D" w:rsidRP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rStyle w:val="Gvdemetni2talik"/>
          <w:rFonts w:eastAsia="Arial Unicode MS"/>
          <w:szCs w:val="26"/>
        </w:rPr>
        <w:t xml:space="preserve"> </w:t>
      </w:r>
      <w:r w:rsidRPr="00736E1D">
        <w:rPr>
          <w:rStyle w:val="Gvdemetni2talik"/>
          <w:rFonts w:eastAsia="Arial Unicode MS"/>
          <w:szCs w:val="26"/>
        </w:rPr>
        <w:t>666</w:t>
      </w:r>
      <w:r w:rsidRPr="00736E1D">
        <w:rPr>
          <w:sz w:val="24"/>
          <w:szCs w:val="26"/>
        </w:rPr>
        <w:t xml:space="preserve"> sayılı Kanun Hükmünde Kararnamenin 5 inci maddesinde ise;</w:t>
      </w:r>
    </w:p>
    <w:p w:rsidR="00736E1D" w:rsidRP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 xml:space="preserve">f) 4/11/1981 tarihli ve 2547 sayılı Kanunun 58 inci maddesinin; (c) fıkrasının (2) numaralı bendinin ...(g) fıkrasının ikinci paragrafı “Bu maddenin (c) ve (f) fıkraları kapsamında bulunanlar dışındaki 657 sayılı Devlet Memurları Kanununa tabi memurlar ile </w:t>
      </w:r>
      <w:r w:rsidRPr="00736E1D">
        <w:rPr>
          <w:sz w:val="24"/>
          <w:szCs w:val="26"/>
        </w:rPr>
        <w:lastRenderedPageBreak/>
        <w:t>aynı Kanunun 4 üncü maddesinin (B) fıkrasına göre sözleşmeli olarak çalışan personele 375 sayılı Kanun Hükmünde Kararnamenin ek 9 uncu maddesi kapsamında ödeme yapılır ve bunlara bu madde uyarınca ayrıca ek ödeme yapılmaz.</w:t>
      </w:r>
      <w:r w:rsidRPr="00736E1D">
        <w:rPr>
          <w:rStyle w:val="Gvdemetni6talikdeil"/>
          <w:szCs w:val="26"/>
        </w:rPr>
        <w:t xml:space="preserve"> </w:t>
      </w:r>
      <w:r w:rsidRPr="00736E1D">
        <w:rPr>
          <w:rStyle w:val="Gvdemetni6talikdeil1ptbolukbraklyor"/>
          <w:szCs w:val="26"/>
        </w:rPr>
        <w:t>”...</w:t>
      </w:r>
      <w:r w:rsidRPr="00736E1D">
        <w:rPr>
          <w:rStyle w:val="Gvdemetni6talikdeil"/>
          <w:szCs w:val="26"/>
        </w:rPr>
        <w:t xml:space="preserve"> </w:t>
      </w:r>
      <w:r w:rsidRPr="00736E1D">
        <w:rPr>
          <w:sz w:val="24"/>
          <w:szCs w:val="26"/>
        </w:rPr>
        <w:t>şeklinde değiştirilmiştir. ”</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denilmişti.</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Yapılan bu değişiklikler ile 666 sayılı Kanun Hükmünde Kararname öncesinde 2547 sayılı Kanunun 58 inci maddesinin (e) fıkrasının (2) numaralı bendine göre döner sermaye gelirlerinden kendilerine ödeme yapılan döner sermaye işletme müdürlüğü ve saymanlık müdürlüğü personelinin, madde metninde yer alan döner sermaye gelirlerinden ek ödeme yapılacak olan “657 sayılı Devlet Memurları Kanununa tabi personel” içinde sayılmasını mümkün kılan parantez içi “(döner sermaye işletme müdürlüğü ve döner sermaye saymanlık personeli dahil)” hükmü, 666 sayılı Kanun Hükmünde Kararnamenin 1 inci maddesiyle 375 sayılı KHK’ya eklenen Ek 12 nci maddesinin (g) bendi ile kaldırılmak suretiyle, sözkonusu personele döner sermaye gelirlerinden ödeme yapılmak yerine, 375 sayılı KHK’ya 666 sayılı KHK ile eklenen Ek 9 uncu maddeye göre ek ödeme yapılmaya başlanmıştır.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Türkiye Büyük Millet Meclisi üyeleri tarafından 11.10.2011 günlü, 666 sayılı Kamu Görevlilerinin Mali Haklarının Düzenlenmesi Amacıyla Bazı Kanun ve Kanun Hükmünde Kararnamelerde Değişiklik Yapılmasına Dair Kanun Hükmünde Kararnamenin bazı maddelerinin Anayasa’nın Başlangıç’ı ile 2., 6., 7., 10., 55., 87. ve 91. maddelerine aykırılıkları ileri sürülerek iptallerine ve yürürlüklerinin durdurulmasına karar verilmesi istemiyle açılan davanın görüşülmesi neticesinde verilen ve 10.10.2013 tarih ve 28791 sayılı Resmi Gazetede yayımlanan 27.12.2012 tarih ve 2011/139 Esas, 2012/205 Karardaydı Anayasa Mahkemesi Kararının “IV-Esasın İncelenmesi” başlıklı kısmında, 666 sayılı KHK’nin 1. maddesiyle 375 sayılı KHK’ye eklenen Ek 12. maddenin (2) numaralı fıkrasının (j) bendi dışında kalan bölümünde öngörülen mali haklara ilişkin hükümlerin mevcut veya yeni ihdas edilen ya da bir başka bakanlıkla birleştirilen bakanlıkların görev, yetki, teşkilat ve kadrolarının düzenlenmesiyle bağlantılı ve bunların zorunlu sonucu olmadığı, doğrudan mali haklara ilişkin bir düzenleme niteliğinde olduğu belirtilerek 6223 sayılı Yetki Kanunu kapsamında bulunmadığı anlaşılan bu hükümlerin Anayasanın 91. maddesine aykırılığı nedeniyle iptali gerektiği ifade edilmiştir.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Kararın “Sonuç” bölümünde ise aynen;</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“11.10.2011 günlü, 666 sayılı Kamu Görevlilerinin Mali Haklarının Düzenlenmesi Amacıyla Bazı Kanun ve Kanun Hükmünde Kararnamelerde Değişiklik Yapılmasına Dair Kanun Hükmünde Kararname’nin;</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A- 1. maddesiyle, 27.06.1989 günlü, 375 sayılı Kanun Hükmünde Kararnameye eklenen;</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3- Ek Madde 12’nin,</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b- (2) numaralı fıkrasının,</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736E1D">
        <w:rPr>
          <w:sz w:val="24"/>
          <w:szCs w:val="26"/>
        </w:rPr>
        <w:t>aa- (j) bendi, 30.12.2011 günlü başvuru tarihinden önce yürürlüğe giren 1.12.2011 günlü, 6253 sayılı Türkiye Büyük Millet Meclisi Başkanlığı İdari Teşkilatı Kanunu’nun 42. maddesiyle yürürlükten kaldırıldığından, bu bende yönelik iptal isteminin başvuranın yetkisizliği nedeniyle REDDİNE, OYBİRLİĞİYLE,</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bb- Kalan bölümü, 6223 sayılı Yetki Kanunun kapsamında olmadığından, bu bölümün Anayasa ‘ya aykırı olduğuna ve İPTALİNE, OYBİRLİĞİYLE,</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D- 1. maddesiyle 375 sayılı Kanun Hükmünde Kararname’ye eklenen Ek Madde</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sidRPr="00736E1D">
        <w:rPr>
          <w:sz w:val="24"/>
          <w:szCs w:val="26"/>
        </w:rPr>
        <w:t>12’nin yürürlüğüne ilişkin 8. maddesinin birinci fıkrasının (a) bendinde yer alan “1 inci maddesiyle 375 sayılı Kanun Hükmünde Kararnameye eklenen ek 12 nci madde” ibaresi, 6223 sayılı Yetki Kanunu kapsamında olmadığından, bu ibarenin Ek Madde 12’nin (1) numaralı fıkrası ve (2) numaralı fıkrasının (j) bendi dışında kalan bölümü yönünden Anayasa ‘ya aykırı olduğuna ve İPTALİNE, OYBİRLİĞİYLE,</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F- Anayasa’nın 153. maddesinin üçüncü fıkrasıyla 6216 sayılı Kanun’un 66. maddesinin (3) numaralı fıkrası gereğince, 666 sayılı Kanun Hükmünde Kararname’nin, 1. maddesiyle 375 sayılı Kanım Hükmünde Kararname’ye eklenen Ek Madde 12’nin (1) numaralı fıkrası ve (2) numaralı fıkrasının iptal edilen hükümleri ile bunların yürürlüğüne ilişkin iptal hükmü dışındaki diğer iptal hükümlerinin KARARIN RESMÎ GAZETE’DE YAYIMLANMASINDAN BAŞLAYARAK DOKUZ AY SONRA YÜRÜRLÜĞE GİRMESİNE, OYBİRLİĞİYLE,</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2 7.12.2012 gününde karar verildi.”</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denilmiştir.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 xml:space="preserve">Söz konusu Karar ile 666 sayılı KHK’nın 1 inci maddesiyle 375 sayılı KHK’ya eklenen Ek Madde 12’nin (2) numaralı fıkrasının (g) bendindeki 2547 sayılı Kanunun 58 inci maddesinin (c) fıkrasının (2) numaralı bendinde yer alan “(döner sermaye işletme müdürlüğü ve döner sermaye saymanlık müdürlüğü personeli dahil)” ibaresinin yürürlükten kaldırılmasına ilişkin hükmün iptal edilmesi ve fakat 2547 sayılı Kanunun 58 inci maddesinin (c) fıkrasına ilişkin hüküm getiren bir başka maddesi olan 666 sayılı KHK’yla 375 sayılı KHK’ya eklenen Ek Madde 9’un üçüncü paragrafında yer alan </w:t>
      </w:r>
      <w:r w:rsidRPr="00736E1D">
        <w:rPr>
          <w:rStyle w:val="Gvdemetni2talik"/>
          <w:rFonts w:eastAsia="Arial Unicode MS"/>
          <w:szCs w:val="26"/>
        </w:rPr>
        <w:t>“...Bu fıkra kapsamında yer alan idarelerin döner sermaye saymanlık hizmetlerini yürüten personele sözkonusu mevzuat uyarınca döner sermaye gelirlerinden herhangi bir ödeme yapılmaz.”</w:t>
      </w:r>
      <w:r w:rsidRPr="00736E1D">
        <w:rPr>
          <w:sz w:val="24"/>
          <w:szCs w:val="26"/>
        </w:rPr>
        <w:t xml:space="preserve"> hükmünün, Anayasaya aykırılığı iddiası ile iptali için başvuruda bulunulmaması nedeniyle yürürlüğünün devam etmesi, uygulamada bu iki müdürlük personelinin ek ödemelerden hangisinden faydalanacaklarına ilişkin tereddüt yaşanmasına ve değişik üniversitelerde döner sermaye işletme müdürlüğü personeline döner sermaye gelirlerinden ek ödeme yapılırken, döner sermaye saymanlığı personeline ek ödeme yapılmaması; her iki gruptaki personele ek ödeme yapılması veya her iki gruptaki personele döner sermaye gelirlerinden ek ödeme yapılmaması yönünde farklı uygulamaların ortaya çıkmasına neden olmaktadır. Oysa, yürürlüğü devam eden 666 sayılı KHK’yla 375 sayılı KHK’ya eklenen Ek Madde 9’ un üçüncü paragrafında yer alan </w:t>
      </w:r>
      <w:r w:rsidRPr="00736E1D">
        <w:rPr>
          <w:rStyle w:val="Gvdemetni2talik"/>
          <w:rFonts w:eastAsia="Arial Unicode MS"/>
          <w:szCs w:val="26"/>
        </w:rPr>
        <w:t xml:space="preserve">“...Bu fıkra kapsamında yer </w:t>
      </w:r>
      <w:r w:rsidRPr="00736E1D">
        <w:rPr>
          <w:rStyle w:val="Gvdemetni2talik"/>
          <w:rFonts w:eastAsia="Arial Unicode MS"/>
          <w:szCs w:val="26"/>
        </w:rPr>
        <w:lastRenderedPageBreak/>
        <w:t>alan idarelerin döner sermaye saymanlık hizmetlerini yürüten personele sözkonusu mevzuat uyarınca döner sermaye gelirlerinden herhangi bir ödeme yapılmaz. ”</w:t>
      </w:r>
      <w:r w:rsidRPr="00736E1D">
        <w:rPr>
          <w:sz w:val="24"/>
          <w:szCs w:val="26"/>
        </w:rPr>
        <w:t xml:space="preserve"> hükmünün, Anayasa Mahkemesi Kararı ile iptal edilen 666 sayılı KHK’nın 1 inci maddesiyle 375 sayılı KHK’ya eklenen Ek Madde 12’nin (2) numaralı fıkrasının (g) bendi hükmüne benzer olarak 6223 sayılı Yetki Kanunu kapsamında bulunmadığı, dolayısıyla Anayasanın 91 inci maddesine aykırı olduğu sonucuna ulaşılmıştır.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Anayasanın “E. Kanun hükmünde kararname çıkarma yetkisi verme” başlıklı 91 inci maddesinde;</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“Türkiye Büyük Millet Meclisi, Bakanlar Kuruluna kanun hükmünde kararname çıkarma yetkisi verebilir. Ancak sıkıyönetim ve olağanüstü haller saklı kalmak üzere, Anayasanın ikinci kısmının birinci ve ikinci bölümlerinde yer alan temel haklar, kişi hakları ve ödevleri ile dördüncü bölümünde yer alan siyasî haklar ve ödevler kanun hükmünde kararnamelerle düzenlenemez.</w:t>
      </w:r>
    </w:p>
    <w:p w:rsidR="00736E1D" w:rsidRP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Yetki kanunu, çıkarılacak kanun hükmünde kararnamenin, amacını, kapsamını, ilkelerini, kullanma süresini ve süresi içinde birden fazla kararname çıkarılıp çıkarılamayacağını gösterir.</w:t>
      </w:r>
    </w:p>
    <w:p w:rsidR="00736E1D" w:rsidRDefault="00736E1D" w:rsidP="00736E1D">
      <w:pPr>
        <w:pStyle w:val="Gvdemetni8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w:t>
      </w:r>
      <w:r>
        <w:rPr>
          <w:sz w:val="24"/>
          <w:szCs w:val="26"/>
        </w:rPr>
        <w:t xml:space="preserve"> </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denilmektedir.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sidRPr="00736E1D">
        <w:rPr>
          <w:sz w:val="24"/>
          <w:szCs w:val="26"/>
        </w:rPr>
        <w:t xml:space="preserve"> </w:t>
      </w:r>
      <w:r>
        <w:rPr>
          <w:sz w:val="24"/>
          <w:szCs w:val="26"/>
        </w:rPr>
        <w:t xml:space="preserve"> </w:t>
      </w:r>
      <w:r w:rsidRPr="00736E1D">
        <w:rPr>
          <w:sz w:val="24"/>
          <w:szCs w:val="26"/>
        </w:rPr>
        <w:t>Bu hükme dayanılarak çıkartılan 6223 sayılı Yetki Kanununun “Amaç ve kapsam” başlıklı 1 inci maddesinin (1) numaralı fıkrasının (b) bendinde bu Kanunun amacının,, kamu kurum ve kuruluşlarında istihdam edilen memurlar, işçiler, sözleşmeli personel ile diğer kamu görevlilerinin çalışmalarında etkinliği artırmak üzere, bunların atanma, nakil, görevlendirilme, seçilme, terfi, yükselme, görevden alınma ve emekliye sevk edilme usul ve esaslarına ilişkin konularda düzenlemelerde bulunmak üzere Bakanlar Kuruluna kanun hükmünde kararname çıkarma yetkisi vermek olduğu; (2) numaralı fıkrasının (b) bendi ve bu bendin (7) numaralı alt bendinde ise bu Kanuna göre çıkarılacak kanun hükmünde kararnamelerin kamu kurum ve kuruluşlarında istihdam edilen memurlar, işçiler, sözleşmeli personel ile diğer kamu görevlilerinin atanma, nakil, görevlendirilme, seçilme, terfi, yükselme, görevden alınma ve emekliye sevk edilme usul ve esaslarına ilişkin olarak hangi kanun veya kanun hükmünde kararnamelerde yapılacak değişiklik ve yeni düzenlemeleri kapsayacağı belirtilmiştir.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 xml:space="preserve">6223 sayılı Yetki Kanununun söz konusu hükümlerinde, Bakanlar Kuruluna memurlar, işçiler, sözleşmeli personel ile diğer kamu görevlilerinin atanma, nakil, görevlendirilme, seçilme, terfi, yükselme, görevden alınma ve emekliye sevk edilme usul ve esaslarına ilişkin olarak değişiklik ve yeni düzenleme yapma yetkisi verildiğinden, 666- sayılı KHK’yla 375 sayılı KHK’ya eklenen Ek Madde 9’un üçüncü paragrafında yer alan doğrudan ve sadece mali hüküm içeren, </w:t>
      </w:r>
      <w:r w:rsidRPr="00736E1D">
        <w:rPr>
          <w:rStyle w:val="Gvdemetni2talik"/>
          <w:rFonts w:eastAsia="Arial Unicode MS"/>
          <w:szCs w:val="26"/>
        </w:rPr>
        <w:t>“...Bu fıkra kapsamında yer alan idarelerin döner sermaye saymanlık hizmetlerini yürüten personele sözkonusıı mevzuat uyarınca döner sermaye gelirlerinden herhangi bir ödeme yapılmaz.”</w:t>
      </w:r>
      <w:r w:rsidRPr="00736E1D">
        <w:rPr>
          <w:sz w:val="24"/>
          <w:szCs w:val="26"/>
        </w:rPr>
        <w:t xml:space="preserve"> hükmünün, Anayasa’nın 91 inci maddesine aykırı olduğu sonucuna ulaşılmıştır.</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lastRenderedPageBreak/>
        <w:t xml:space="preserve"> </w:t>
      </w:r>
      <w:r w:rsidRPr="00736E1D">
        <w:rPr>
          <w:sz w:val="24"/>
          <w:szCs w:val="26"/>
        </w:rPr>
        <w:t>Bu itibarla, bahse konu düzenlemenin iptali için Anayasa Mahkemesine başvurulmasına ve Yargı Raporunun 30 uncu maddesine ilişkin hükmün geri bırakılmasına karar vermek gerekmiştir.</w:t>
      </w:r>
      <w:bookmarkStart w:id="0" w:name="_GoBack"/>
      <w:bookmarkEnd w:id="0"/>
    </w:p>
    <w:p w:rsidR="00736E1D" w:rsidRPr="00736E1D" w:rsidRDefault="00736E1D" w:rsidP="00736E1D">
      <w:pPr>
        <w:pStyle w:val="Gvdemetni20"/>
        <w:widowControl/>
        <w:shd w:val="clear" w:color="auto" w:fill="auto"/>
        <w:tabs>
          <w:tab w:val="left" w:pos="1134"/>
        </w:tabs>
        <w:spacing w:before="100" w:beforeAutospacing="1" w:after="100" w:afterAutospacing="1" w:line="240" w:lineRule="auto"/>
        <w:ind w:firstLine="709"/>
        <w:rPr>
          <w:rStyle w:val="Gvdemetni6talikdeil"/>
          <w:szCs w:val="26"/>
        </w:rPr>
      </w:pPr>
      <w:r>
        <w:rPr>
          <w:sz w:val="24"/>
          <w:szCs w:val="26"/>
        </w:rPr>
        <w:t xml:space="preserve"> </w:t>
      </w:r>
      <w:r w:rsidRPr="00736E1D">
        <w:rPr>
          <w:sz w:val="24"/>
          <w:szCs w:val="26"/>
        </w:rPr>
        <w:t>Açıklanan nedenlerle;</w:t>
      </w:r>
      <w:r>
        <w:rPr>
          <w:rStyle w:val="Gvdemetni6talikdeil"/>
          <w:szCs w:val="26"/>
        </w:rPr>
        <w:t xml:space="preserve"> </w:t>
      </w:r>
    </w:p>
    <w:p w:rsidR="00736E1D" w:rsidRDefault="00736E1D" w:rsidP="00736E1D">
      <w:pPr>
        <w:pStyle w:val="Gvdemetni60"/>
        <w:widowControl/>
        <w:shd w:val="clear" w:color="auto" w:fill="auto"/>
        <w:tabs>
          <w:tab w:val="left" w:pos="1134"/>
        </w:tabs>
        <w:spacing w:before="100" w:beforeAutospacing="1" w:after="100" w:afterAutospacing="1" w:line="240" w:lineRule="auto"/>
        <w:ind w:firstLine="709"/>
        <w:rPr>
          <w:sz w:val="24"/>
          <w:szCs w:val="26"/>
        </w:rPr>
      </w:pPr>
      <w:r w:rsidRPr="00736E1D">
        <w:rPr>
          <w:rStyle w:val="Gvdemetni6talikdeil"/>
          <w:szCs w:val="26"/>
        </w:rPr>
        <w:t xml:space="preserve"> </w:t>
      </w:r>
      <w:r>
        <w:rPr>
          <w:rStyle w:val="Gvdemetni6talikdeil"/>
          <w:szCs w:val="26"/>
        </w:rPr>
        <w:t xml:space="preserve"> </w:t>
      </w:r>
      <w:r w:rsidRPr="00736E1D">
        <w:rPr>
          <w:rStyle w:val="Gvdemetni6talikdeil"/>
          <w:szCs w:val="26"/>
        </w:rPr>
        <w:t>1- Anayasanın 152 nci maddesinin birinci fıkrasındaki, “</w:t>
      </w:r>
      <w:r w:rsidRPr="00736E1D">
        <w:rPr>
          <w:sz w:val="24"/>
          <w:szCs w:val="26"/>
        </w:rPr>
        <w:t>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w:t>
      </w:r>
      <w:r w:rsidRPr="00736E1D">
        <w:rPr>
          <w:rStyle w:val="Gvdemetni6talikdeil"/>
          <w:szCs w:val="26"/>
        </w:rPr>
        <w:t xml:space="preserve"> hükmü ile 6216 sayılı Kanunun </w:t>
      </w:r>
      <w:r w:rsidRPr="00736E1D">
        <w:rPr>
          <w:sz w:val="24"/>
          <w:szCs w:val="26"/>
        </w:rPr>
        <w:t>“Anayasaya aykırılığın mahkemelerce ileri sürülmesi”</w:t>
      </w:r>
      <w:r w:rsidRPr="00736E1D">
        <w:rPr>
          <w:rStyle w:val="Gvdemetni6talikdeil"/>
          <w:szCs w:val="26"/>
        </w:rPr>
        <w:t xml:space="preserve"> başlıklı 40 inci maddesi gereğince 02.11.2011 tarih ve 28103 mükerrer sayılı </w:t>
      </w:r>
      <w:r w:rsidRPr="00736E1D">
        <w:rPr>
          <w:sz w:val="24"/>
          <w:szCs w:val="26"/>
        </w:rPr>
        <w:t xml:space="preserve">Resmi Gazete’de yayımlanan Kamu Görevlilerinin Mali Haklarının Düzenlenmesi Amacıyla Bazı Kanun ve Kanun Hükmünde Kararnamelerde Değişiklik Yapılmasına Dair 666 sayılı Kanun Hükmünde Kararnamenin 1 inci maddesiyle 375 sayılı KHK’ya eklenen Ek Madde 9’un üçüncü paragrafında yer alan </w:t>
      </w:r>
      <w:r w:rsidRPr="00736E1D">
        <w:rPr>
          <w:rStyle w:val="Gvdemetni2talik"/>
          <w:rFonts w:eastAsia="Arial Unicode MS"/>
          <w:szCs w:val="26"/>
        </w:rPr>
        <w:t>“...Bu fıkra kapsamında yer alan idarelerin döner sermaye saymanlık hizmetlerini yürüten personele sözkonusu mevzuat uyarınca döner sermaye gelirlerinden herhangi bir ödeme yapılmaz.”</w:t>
      </w:r>
      <w:r w:rsidRPr="00736E1D">
        <w:rPr>
          <w:sz w:val="24"/>
          <w:szCs w:val="26"/>
        </w:rPr>
        <w:t xml:space="preserve"> ibaresi Anayasanın 91 inci maddesine aykırı görüldüğünden, iptali için ANAYASA MAHKEMESİNE BAŞVURULMASINA ve ilgili belgelerin onaylı örneklerinin ANAYASA MAHKEMESİNE GÖNDERİLMESİNE,</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2- 6216 sayılı Kanunun 40 ncı maddesinin beşinci fıkrası hükmü uyarınca Anayasa Mahkemesinin bu konuda vereceği karara kadar Yargı Raporunun 30 uncu maddesine ilişkin hükmün GERİ BIRAKILMASINA,</w:t>
      </w:r>
    </w:p>
    <w:p w:rsidR="00736E1D" w:rsidRDefault="00736E1D" w:rsidP="00736E1D">
      <w:pPr>
        <w:pStyle w:val="Gvdemetni20"/>
        <w:widowControl/>
        <w:shd w:val="clear" w:color="auto" w:fill="auto"/>
        <w:tabs>
          <w:tab w:val="left" w:pos="1134"/>
        </w:tabs>
        <w:spacing w:before="100" w:beforeAutospacing="1" w:after="100" w:afterAutospacing="1" w:line="240" w:lineRule="auto"/>
        <w:ind w:firstLine="709"/>
        <w:rPr>
          <w:sz w:val="24"/>
          <w:szCs w:val="26"/>
        </w:rPr>
      </w:pPr>
      <w:r>
        <w:rPr>
          <w:sz w:val="24"/>
          <w:szCs w:val="26"/>
        </w:rPr>
        <w:t xml:space="preserve"> </w:t>
      </w:r>
      <w:r w:rsidRPr="00736E1D">
        <w:rPr>
          <w:sz w:val="24"/>
          <w:szCs w:val="26"/>
        </w:rPr>
        <w:t>Dairemizin 29.12.2015 tarih ve 35362 sayılı tutanağıyla oybirliğiyle karar verildi.”</w:t>
      </w:r>
    </w:p>
    <w:p w:rsidR="001D02E4" w:rsidRPr="00736E1D" w:rsidRDefault="001D02E4" w:rsidP="00736E1D">
      <w:pPr>
        <w:widowControl/>
        <w:spacing w:before="100" w:beforeAutospacing="1" w:after="100" w:afterAutospacing="1"/>
        <w:ind w:firstLine="709"/>
        <w:jc w:val="both"/>
        <w:rPr>
          <w:rFonts w:ascii="Times New Roman" w:hAnsi="Times New Roman" w:cs="Times New Roman"/>
        </w:rPr>
      </w:pPr>
    </w:p>
    <w:sectPr w:rsidR="001D02E4" w:rsidRPr="00736E1D" w:rsidSect="00736E1D">
      <w:headerReference w:type="even" r:id="rId6"/>
      <w:headerReference w:type="default" r:id="rId7"/>
      <w:footerReference w:type="even" r:id="rId8"/>
      <w:footerReference w:type="default" r:id="rId9"/>
      <w:headerReference w:type="first" r:id="rId10"/>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F08" w:rsidRDefault="002C4F08" w:rsidP="00736E1D">
      <w:r>
        <w:separator/>
      </w:r>
    </w:p>
  </w:endnote>
  <w:endnote w:type="continuationSeparator" w:id="0">
    <w:p w:rsidR="002C4F08" w:rsidRDefault="002C4F08" w:rsidP="0073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1D" w:rsidRDefault="00736E1D" w:rsidP="00E97E3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6E1D" w:rsidRDefault="00736E1D" w:rsidP="00736E1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1D" w:rsidRPr="00736E1D" w:rsidRDefault="00736E1D" w:rsidP="00E97E3D">
    <w:pPr>
      <w:pStyle w:val="Altbilgi"/>
      <w:framePr w:wrap="around" w:vAnchor="text" w:hAnchor="margin" w:xAlign="right" w:y="1"/>
      <w:rPr>
        <w:rStyle w:val="SayfaNumaras"/>
        <w:rFonts w:ascii="Times New Roman" w:hAnsi="Times New Roman" w:cs="Times New Roman"/>
      </w:rPr>
    </w:pPr>
    <w:r w:rsidRPr="00736E1D">
      <w:rPr>
        <w:rStyle w:val="SayfaNumaras"/>
        <w:rFonts w:ascii="Times New Roman" w:hAnsi="Times New Roman" w:cs="Times New Roman"/>
      </w:rPr>
      <w:fldChar w:fldCharType="begin"/>
    </w:r>
    <w:r w:rsidRPr="00736E1D">
      <w:rPr>
        <w:rStyle w:val="SayfaNumaras"/>
        <w:rFonts w:ascii="Times New Roman" w:hAnsi="Times New Roman" w:cs="Times New Roman"/>
      </w:rPr>
      <w:instrText xml:space="preserve">PAGE  </w:instrText>
    </w:r>
    <w:r w:rsidRPr="00736E1D">
      <w:rPr>
        <w:rStyle w:val="SayfaNumaras"/>
        <w:rFonts w:ascii="Times New Roman" w:hAnsi="Times New Roman" w:cs="Times New Roman"/>
      </w:rPr>
      <w:fldChar w:fldCharType="separate"/>
    </w:r>
    <w:r>
      <w:rPr>
        <w:rStyle w:val="SayfaNumaras"/>
        <w:rFonts w:ascii="Times New Roman" w:hAnsi="Times New Roman" w:cs="Times New Roman"/>
        <w:noProof/>
      </w:rPr>
      <w:t>8</w:t>
    </w:r>
    <w:r w:rsidRPr="00736E1D">
      <w:rPr>
        <w:rStyle w:val="SayfaNumaras"/>
        <w:rFonts w:ascii="Times New Roman" w:hAnsi="Times New Roman" w:cs="Times New Roman"/>
      </w:rPr>
      <w:fldChar w:fldCharType="end"/>
    </w:r>
  </w:p>
  <w:p w:rsidR="008F1BAD" w:rsidRPr="00736E1D" w:rsidRDefault="002C4F08" w:rsidP="00736E1D">
    <w:pPr>
      <w:pStyle w:val="Altbilgi"/>
      <w:ind w:right="360"/>
      <w:jc w:val="center"/>
      <w:rPr>
        <w:rFonts w:ascii="Times New Roman" w:hAnsi="Times New Roman" w:cs="Times New Roman"/>
      </w:rPr>
    </w:pPr>
  </w:p>
  <w:p w:rsidR="008F1BAD" w:rsidRPr="00736E1D" w:rsidRDefault="002C4F08">
    <w:pPr>
      <w:pStyle w:val="Altbilgi"/>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F08" w:rsidRDefault="002C4F08" w:rsidP="00736E1D">
      <w:r>
        <w:separator/>
      </w:r>
    </w:p>
  </w:footnote>
  <w:footnote w:type="continuationSeparator" w:id="0">
    <w:p w:rsidR="002C4F08" w:rsidRDefault="002C4F08" w:rsidP="00736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8011771"/>
      <w:placeholder/>
      <w:temporary/>
      <w:showingPlcHdr/>
      <w15:appearance w15:val="hidden"/>
    </w:sdtPr>
    <w:sdtEndPr/>
    <w:sdtContent>
      <w:p w:rsidR="008F1BAD" w:rsidRDefault="002C4F08">
        <w:pPr>
          <w:pStyle w:val="stbilgi"/>
        </w:pPr>
        <w:r>
          <w:t>[Buraya yazın]</w:t>
        </w:r>
      </w:p>
    </w:sdtContent>
  </w:sdt>
  <w:p w:rsidR="008F1BAD" w:rsidRDefault="002C4F0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E1D" w:rsidRPr="00D836E1" w:rsidRDefault="00736E1D" w:rsidP="00736E1D">
    <w:pPr>
      <w:widowControl/>
      <w:shd w:val="clear" w:color="auto" w:fill="FFFFFF"/>
      <w:jc w:val="both"/>
      <w:rPr>
        <w:rFonts w:ascii="Times New Roman" w:eastAsia="Times New Roman" w:hAnsi="Times New Roman" w:cs="Times New Roman"/>
        <w:b/>
        <w:bCs/>
        <w:shd w:val="clear" w:color="auto" w:fill="FFFFFF"/>
      </w:rPr>
    </w:pPr>
    <w:r w:rsidRPr="00D836E1">
      <w:rPr>
        <w:rFonts w:ascii="Times New Roman" w:eastAsia="Times New Roman" w:hAnsi="Times New Roman" w:cs="Times New Roman"/>
        <w:b/>
        <w:bCs/>
        <w:shd w:val="clear" w:color="auto" w:fill="FFFFFF"/>
      </w:rPr>
      <w:t>Esas Sayısı       :  2016/28</w:t>
    </w:r>
  </w:p>
  <w:p w:rsidR="00736E1D" w:rsidRPr="00D836E1" w:rsidRDefault="00736E1D" w:rsidP="00736E1D">
    <w:pPr>
      <w:widowControl/>
      <w:shd w:val="clear" w:color="auto" w:fill="FFFFFF"/>
      <w:jc w:val="both"/>
      <w:rPr>
        <w:rFonts w:ascii="Times New Roman" w:eastAsia="Times New Roman" w:hAnsi="Times New Roman" w:cs="Times New Roman"/>
        <w:b/>
        <w:bCs/>
        <w:shd w:val="clear" w:color="auto" w:fill="FFFFFF"/>
      </w:rPr>
    </w:pPr>
    <w:r w:rsidRPr="00D836E1">
      <w:rPr>
        <w:rFonts w:ascii="Times New Roman" w:eastAsia="Times New Roman" w:hAnsi="Times New Roman" w:cs="Times New Roman"/>
        <w:b/>
        <w:bCs/>
        <w:shd w:val="clear" w:color="auto" w:fill="FFFFFF"/>
      </w:rPr>
      <w:t>Karar Sayısı    :  2016/25</w:t>
    </w:r>
  </w:p>
  <w:p w:rsidR="008F1BAD" w:rsidRPr="00736E1D" w:rsidRDefault="002C4F08" w:rsidP="00736E1D">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BAD" w:rsidRDefault="002C4F08">
    <w:pPr>
      <w:pStyle w:val="stbilgi"/>
      <w:rPr>
        <w:rFonts w:ascii="Times New Roman" w:hAnsi="Times New Roman" w:cs="Times New Roman"/>
        <w:b/>
        <w:sz w:val="18"/>
        <w:szCs w:val="18"/>
      </w:rPr>
    </w:pPr>
  </w:p>
  <w:p w:rsidR="008F1BAD" w:rsidRDefault="002C4F08">
    <w:pPr>
      <w:pStyle w:val="stbilgi"/>
      <w:rPr>
        <w:rFonts w:ascii="Times New Roman" w:hAnsi="Times New Roman" w:cs="Times New Roman"/>
        <w:b/>
        <w:sz w:val="18"/>
        <w:szCs w:val="18"/>
      </w:rPr>
    </w:pPr>
  </w:p>
  <w:p w:rsidR="008F1BAD" w:rsidRDefault="002C4F08">
    <w:pPr>
      <w:pStyle w:val="stbilgi"/>
      <w:rPr>
        <w:rFonts w:ascii="Times New Roman" w:hAnsi="Times New Roman" w:cs="Times New Roman"/>
        <w:b/>
        <w:sz w:val="18"/>
        <w:szCs w:val="18"/>
      </w:rPr>
    </w:pPr>
  </w:p>
  <w:p w:rsidR="008F1BAD" w:rsidRPr="008F1BAD" w:rsidRDefault="002C4F08">
    <w:pPr>
      <w:pStyle w:val="stbilgi"/>
      <w:rPr>
        <w:rFonts w:ascii="Times New Roman" w:hAnsi="Times New Roman" w:cs="Times New Roman"/>
        <w:b/>
        <w:sz w:val="18"/>
        <w:szCs w:val="18"/>
      </w:rPr>
    </w:pPr>
    <w:r w:rsidRPr="008F1BAD">
      <w:rPr>
        <w:rFonts w:ascii="Times New Roman" w:hAnsi="Times New Roman" w:cs="Times New Roman"/>
        <w:b/>
        <w:sz w:val="18"/>
        <w:szCs w:val="18"/>
      </w:rPr>
      <w:t xml:space="preserve">Esas Sayısı  </w:t>
    </w:r>
    <w:r>
      <w:rPr>
        <w:rFonts w:ascii="Times New Roman" w:hAnsi="Times New Roman" w:cs="Times New Roman"/>
        <w:b/>
        <w:sz w:val="18"/>
        <w:szCs w:val="18"/>
      </w:rPr>
      <w:t xml:space="preserve">  </w:t>
    </w:r>
    <w:r w:rsidRPr="008F1BAD">
      <w:rPr>
        <w:rFonts w:ascii="Times New Roman" w:hAnsi="Times New Roman" w:cs="Times New Roman"/>
        <w:b/>
        <w:sz w:val="18"/>
        <w:szCs w:val="18"/>
      </w:rPr>
      <w:t>: 2016/28</w:t>
    </w:r>
  </w:p>
  <w:p w:rsidR="008F1BAD" w:rsidRPr="008F1BAD" w:rsidRDefault="002C4F08">
    <w:pPr>
      <w:pStyle w:val="stbilgi"/>
      <w:rPr>
        <w:rFonts w:ascii="Times New Roman" w:hAnsi="Times New Roman" w:cs="Times New Roman"/>
        <w:b/>
        <w:sz w:val="18"/>
        <w:szCs w:val="18"/>
      </w:rPr>
    </w:pPr>
    <w:r w:rsidRPr="008F1BAD">
      <w:rPr>
        <w:rFonts w:ascii="Times New Roman" w:hAnsi="Times New Roman" w:cs="Times New Roman"/>
        <w:b/>
        <w:sz w:val="18"/>
        <w:szCs w:val="18"/>
      </w:rPr>
      <w:t>Karar Sayısı : 2016/25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E1D"/>
    <w:rsid w:val="001D02E4"/>
    <w:rsid w:val="002C4F08"/>
    <w:rsid w:val="00736E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C97431-FF2B-4063-AE04-5634A92B7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36E1D"/>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736E1D"/>
    <w:rPr>
      <w:rFonts w:ascii="Times New Roman" w:eastAsia="Times New Roman" w:hAnsi="Times New Roman" w:cs="Times New Roman"/>
      <w:shd w:val="clear" w:color="auto" w:fill="FFFFFF"/>
    </w:rPr>
  </w:style>
  <w:style w:type="character" w:customStyle="1" w:styleId="Gvdemetni6">
    <w:name w:val="Gövde metni (6)_"/>
    <w:basedOn w:val="VarsaylanParagrafYazTipi"/>
    <w:link w:val="Gvdemetni60"/>
    <w:rsid w:val="00736E1D"/>
    <w:rPr>
      <w:rFonts w:ascii="Times New Roman" w:eastAsia="Times New Roman" w:hAnsi="Times New Roman" w:cs="Times New Roman"/>
      <w:i/>
      <w:iCs/>
      <w:shd w:val="clear" w:color="auto" w:fill="FFFFFF"/>
    </w:rPr>
  </w:style>
  <w:style w:type="character" w:customStyle="1" w:styleId="Gvdemetni2talik">
    <w:name w:val="Gövde metni (2) + İtalik"/>
    <w:basedOn w:val="Gvdemetni2"/>
    <w:rsid w:val="00736E1D"/>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character" w:customStyle="1" w:styleId="Gvdemetni6talikdeil">
    <w:name w:val="Gövde metni (6) + İtalik değil"/>
    <w:basedOn w:val="Gvdemetni6"/>
    <w:rsid w:val="00736E1D"/>
    <w:rPr>
      <w:rFonts w:ascii="Times New Roman" w:eastAsia="Times New Roman" w:hAnsi="Times New Roman" w:cs="Times New Roman"/>
      <w:i/>
      <w:iCs/>
      <w:color w:val="000000"/>
      <w:spacing w:val="0"/>
      <w:w w:val="100"/>
      <w:position w:val="0"/>
      <w:sz w:val="24"/>
      <w:szCs w:val="24"/>
      <w:shd w:val="clear" w:color="auto" w:fill="FFFFFF"/>
      <w:lang w:val="tr-TR" w:eastAsia="tr-TR" w:bidi="tr-TR"/>
    </w:rPr>
  </w:style>
  <w:style w:type="character" w:customStyle="1" w:styleId="Gvdemetni7">
    <w:name w:val="Gövde metni (7)_"/>
    <w:basedOn w:val="VarsaylanParagrafYazTipi"/>
    <w:link w:val="Gvdemetni70"/>
    <w:rsid w:val="00736E1D"/>
    <w:rPr>
      <w:rFonts w:ascii="Angsana New" w:eastAsia="Angsana New" w:hAnsi="Angsana New" w:cs="Angsana New"/>
      <w:i/>
      <w:iCs/>
      <w:sz w:val="11"/>
      <w:szCs w:val="11"/>
      <w:shd w:val="clear" w:color="auto" w:fill="FFFFFF"/>
    </w:rPr>
  </w:style>
  <w:style w:type="character" w:customStyle="1" w:styleId="Gvdemetni6talikdeil1ptbolukbraklyor">
    <w:name w:val="Gövde metni (6) + İtalik değil;1 pt boşluk bırakılıyor"/>
    <w:basedOn w:val="Gvdemetni6"/>
    <w:rsid w:val="00736E1D"/>
    <w:rPr>
      <w:rFonts w:ascii="Times New Roman" w:eastAsia="Times New Roman" w:hAnsi="Times New Roman" w:cs="Times New Roman"/>
      <w:i/>
      <w:iCs/>
      <w:color w:val="000000"/>
      <w:spacing w:val="30"/>
      <w:w w:val="100"/>
      <w:position w:val="0"/>
      <w:sz w:val="24"/>
      <w:szCs w:val="24"/>
      <w:shd w:val="clear" w:color="auto" w:fill="FFFFFF"/>
      <w:lang w:val="tr-TR" w:eastAsia="tr-TR" w:bidi="tr-TR"/>
    </w:rPr>
  </w:style>
  <w:style w:type="character" w:customStyle="1" w:styleId="Gvdemetni8">
    <w:name w:val="Gövde metni (8)_"/>
    <w:basedOn w:val="VarsaylanParagrafYazTipi"/>
    <w:link w:val="Gvdemetni80"/>
    <w:rsid w:val="00736E1D"/>
    <w:rPr>
      <w:rFonts w:ascii="Times New Roman" w:eastAsia="Times New Roman" w:hAnsi="Times New Roman" w:cs="Times New Roman"/>
      <w:sz w:val="20"/>
      <w:szCs w:val="20"/>
      <w:shd w:val="clear" w:color="auto" w:fill="FFFFFF"/>
    </w:rPr>
  </w:style>
  <w:style w:type="paragraph" w:customStyle="1" w:styleId="Gvdemetni20">
    <w:name w:val="Gövde metni (2)"/>
    <w:basedOn w:val="Normal"/>
    <w:link w:val="Gvdemetni2"/>
    <w:rsid w:val="00736E1D"/>
    <w:pPr>
      <w:shd w:val="clear" w:color="auto" w:fill="FFFFFF"/>
      <w:spacing w:line="408" w:lineRule="exact"/>
      <w:jc w:val="both"/>
    </w:pPr>
    <w:rPr>
      <w:rFonts w:ascii="Times New Roman" w:eastAsia="Times New Roman" w:hAnsi="Times New Roman" w:cs="Times New Roman"/>
      <w:color w:val="auto"/>
      <w:sz w:val="22"/>
      <w:szCs w:val="22"/>
      <w:lang w:eastAsia="en-US" w:bidi="ar-SA"/>
    </w:rPr>
  </w:style>
  <w:style w:type="paragraph" w:customStyle="1" w:styleId="Gvdemetni60">
    <w:name w:val="Gövde metni (6)"/>
    <w:basedOn w:val="Normal"/>
    <w:link w:val="Gvdemetni6"/>
    <w:rsid w:val="00736E1D"/>
    <w:pPr>
      <w:shd w:val="clear" w:color="auto" w:fill="FFFFFF"/>
      <w:spacing w:line="403" w:lineRule="exact"/>
      <w:jc w:val="both"/>
    </w:pPr>
    <w:rPr>
      <w:rFonts w:ascii="Times New Roman" w:eastAsia="Times New Roman" w:hAnsi="Times New Roman" w:cs="Times New Roman"/>
      <w:i/>
      <w:iCs/>
      <w:color w:val="auto"/>
      <w:sz w:val="22"/>
      <w:szCs w:val="22"/>
      <w:lang w:eastAsia="en-US" w:bidi="ar-SA"/>
    </w:rPr>
  </w:style>
  <w:style w:type="paragraph" w:customStyle="1" w:styleId="Gvdemetni70">
    <w:name w:val="Gövde metni (7)"/>
    <w:basedOn w:val="Normal"/>
    <w:link w:val="Gvdemetni7"/>
    <w:rsid w:val="00736E1D"/>
    <w:pPr>
      <w:shd w:val="clear" w:color="auto" w:fill="FFFFFF"/>
      <w:spacing w:before="180" w:after="300" w:line="0" w:lineRule="atLeast"/>
    </w:pPr>
    <w:rPr>
      <w:rFonts w:ascii="Angsana New" w:eastAsia="Angsana New" w:hAnsi="Angsana New" w:cs="Angsana New"/>
      <w:i/>
      <w:iCs/>
      <w:color w:val="auto"/>
      <w:sz w:val="11"/>
      <w:szCs w:val="11"/>
      <w:lang w:eastAsia="en-US" w:bidi="ar-SA"/>
    </w:rPr>
  </w:style>
  <w:style w:type="paragraph" w:customStyle="1" w:styleId="Gvdemetni80">
    <w:name w:val="Gövde metni (8)"/>
    <w:basedOn w:val="Normal"/>
    <w:link w:val="Gvdemetni8"/>
    <w:rsid w:val="00736E1D"/>
    <w:pPr>
      <w:shd w:val="clear" w:color="auto" w:fill="FFFFFF"/>
      <w:spacing w:after="180" w:line="0" w:lineRule="atLeast"/>
      <w:ind w:firstLine="780"/>
      <w:jc w:val="both"/>
    </w:pPr>
    <w:rPr>
      <w:rFonts w:ascii="Times New Roman" w:eastAsia="Times New Roman" w:hAnsi="Times New Roman" w:cs="Times New Roman"/>
      <w:color w:val="auto"/>
      <w:sz w:val="20"/>
      <w:szCs w:val="20"/>
      <w:lang w:eastAsia="en-US" w:bidi="ar-SA"/>
    </w:rPr>
  </w:style>
  <w:style w:type="paragraph" w:styleId="stbilgi">
    <w:name w:val="header"/>
    <w:basedOn w:val="Normal"/>
    <w:link w:val="stbilgiChar"/>
    <w:uiPriority w:val="99"/>
    <w:unhideWhenUsed/>
    <w:rsid w:val="00736E1D"/>
    <w:pPr>
      <w:tabs>
        <w:tab w:val="center" w:pos="4536"/>
        <w:tab w:val="right" w:pos="9072"/>
      </w:tabs>
    </w:pPr>
  </w:style>
  <w:style w:type="character" w:customStyle="1" w:styleId="stbilgiChar">
    <w:name w:val="Üstbilgi Char"/>
    <w:basedOn w:val="VarsaylanParagrafYazTipi"/>
    <w:link w:val="stbilgi"/>
    <w:uiPriority w:val="99"/>
    <w:rsid w:val="00736E1D"/>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736E1D"/>
    <w:pPr>
      <w:tabs>
        <w:tab w:val="center" w:pos="4536"/>
        <w:tab w:val="right" w:pos="9072"/>
      </w:tabs>
    </w:pPr>
  </w:style>
  <w:style w:type="character" w:customStyle="1" w:styleId="AltbilgiChar">
    <w:name w:val="Altbilgi Char"/>
    <w:basedOn w:val="VarsaylanParagrafYazTipi"/>
    <w:link w:val="Altbilgi"/>
    <w:uiPriority w:val="99"/>
    <w:rsid w:val="00736E1D"/>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736E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3250</Words>
  <Characters>18525</Characters>
  <Application>Microsoft Office Word</Application>
  <DocSecurity>0</DocSecurity>
  <Lines>154</Lines>
  <Paragraphs>43</Paragraphs>
  <ScaleCrop>false</ScaleCrop>
  <Company/>
  <LinksUpToDate>false</LinksUpToDate>
  <CharactersWithSpaces>21732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2019-03-18T07:47:00Z</dcterms:created>
  <dcterms:modified xsi:type="dcterms:W3CDTF">2019-03-18T07:51:00Z</dcterms:modified>
</cp:coreProperties>
</file>