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CF4" w:rsidRDefault="00B93CF4" w:rsidP="00B93CF4">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B93CF4">
        <w:rPr>
          <w:rFonts w:ascii="Times New Roman" w:hAnsi="Times New Roman" w:cs="Times New Roman"/>
          <w:i/>
          <w:szCs w:val="26"/>
        </w:rPr>
        <w:t>“…</w:t>
      </w:r>
    </w:p>
    <w:p w:rsidR="00B93CF4" w:rsidRDefault="00B93CF4" w:rsidP="00B93CF4">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B93CF4">
        <w:rPr>
          <w:rFonts w:ascii="Times New Roman" w:hAnsi="Times New Roman" w:cs="Times New Roman"/>
          <w:i/>
          <w:szCs w:val="26"/>
        </w:rPr>
        <w:t>Yukarıda belirtilen madde hükmü bir hukuk devletinde olması gereken “Hukuki Güvenlik İlkesi” aykırıdır. Hukuk devletinde devlet, hukuk güvenliğini sağlama yükümlüdür. Hukuki güvenlik ilkesi kural olarak yasaların geriye yürütülmemesini gerekli kılar. “Yasaların Geriye Yürümezliği İlkesi” uyarınca yasalar kural olarak yürürlük tarihlerinden sonraki olay, işlem ve eylemlere uygulanmak üzere çıkarılırlar. Yürürlüğe giren yasaların geçmişe ve kesin nitelik kazanmış hukuksal durumlara etkili olamaması hukukun genel ilkelerinden “Kazanılmış Hakların Korunması” ilkesinin gereğidir.</w:t>
      </w:r>
    </w:p>
    <w:p w:rsidR="00B93CF4" w:rsidRDefault="00B93CF4" w:rsidP="00B93CF4">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B93CF4">
        <w:rPr>
          <w:rFonts w:ascii="Times New Roman" w:hAnsi="Times New Roman" w:cs="Times New Roman"/>
          <w:i/>
          <w:szCs w:val="26"/>
        </w:rPr>
        <w:t>Bununla birlikte hukuki güvenlik ilkesi belirliliği de gerektirir. “Belirlilik İlkesi” yükümlülüğün hem kişiler hem de idare yönünden belli ve kesin olmasını, yasa kuralının ilgili kişilerin mevcut şartlar altında belirli bir işlemin ne tür sonuçlar doğurabileceğini makul bir düzeyde öngörmelerini mümkün kılacak şekilde düzenlenmesini gerekli kılar. İtiraz konusu yasa ile devam eden davalar için yasayla geriye dönük olarak açık bir müdahale yapılmıştır.</w:t>
      </w:r>
    </w:p>
    <w:p w:rsidR="00B93CF4" w:rsidRDefault="00B93CF4" w:rsidP="00B93CF4">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B93CF4">
        <w:rPr>
          <w:rFonts w:ascii="Times New Roman" w:hAnsi="Times New Roman" w:cs="Times New Roman"/>
          <w:i/>
          <w:szCs w:val="26"/>
        </w:rPr>
        <w:t>Somut vakıada davalı Kurum, tüketiciden alınmaması gereken kayıp kaçak bedellerini davacıdan tahsil etmiştir ki, kayıp kaçak bedellerinin nihai tüketiciye yansıtılamayacağı istikrarlı Yargıtay uygulamaları ile sabittir. (YHGK, 21/05/2014 gün ve E.2013/7-2454,K.2014/679 sayılı kararı ve Yargıtay 3. HD’nin yerleşik içtihatları).Eldeki davada, davacı, dava açıldığı tarihte hukuka aykırı olarak tahsil edilen kayıp kaçak bedelinin iadesini talep etmiş, bu davanın gerektirdiği mahkeme masraflarına katlanmıştır. Davacı istikrarlı Yargıtay uygulamalarına göre kazanmayı beklediği -meşru beklenti ilkesi gereği- işbu davayı, iptali talep edilen Kanun hükmü nedeniyle kaybedecektir. Başka bir ifadeyle meşru beklenti seviyesinde kazanılması umulan davanın, belirtilen Kanun hükmüyle kesin olarak reddedilecek olması Anayasa’nın 2. maddesinde yer alan hukuk devleti ilkesine aykırıdır.</w:t>
      </w:r>
    </w:p>
    <w:p w:rsidR="00B93CF4" w:rsidRDefault="00B93CF4" w:rsidP="00B93CF4">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B93CF4">
        <w:rPr>
          <w:rFonts w:ascii="Times New Roman" w:hAnsi="Times New Roman" w:cs="Times New Roman"/>
          <w:i/>
          <w:szCs w:val="26"/>
        </w:rPr>
        <w:t xml:space="preserve">Diğer taraftan itiraz konusu kural Anayasa’nın 36. maddesinde garanti altına alınan adil yargılanma hakkına aykırıdır. Zira adil yargılanma hakkı gereği kişiler açtıkları davaların kamusal veya değil- herhangi bir müdahale olmaksızın bağımsız ve tarafsız biçimde görül meşini isteme hakkına sahiptir. Oysa itiraz konusu kural ile devam eden davalara müdahale edilmekte ve davalı lehine belli bir avantaj sağlanmaktadır. Nitekim Avrupa İnsan Hakları Mahkemesine (AİHM) öre devam eden davalara belli bir sonucu garanti etmek adına yasa ile yapılan kamu müdahaleleri Sözleşme’nin 6. maddesinde güvenceye kavuşturulan adil yargılanma hakkını ihlal eder. AİHM, ihlal bulduğu kararlarda özellikle yargılama sırasında yürürlüğe giren kanunla yapılan müdahalenin “zamanlaması ve şekli”ni dikkate almış, karar verme aşamasına yakın bir zamanda yargılamanın sonucuna etki edecek şekilde yapılmış olan müdahaleler yönünden ihlal tespit etmiştir (Bkz.: Stran Greek Refıneries ve Stratis Andreadis/Yunanistan. 49-50); Zielinski ve Pradal ve Gonzalez ve Diğerleri/Fransa [BD], B. No: 24846/94 34165/96 34166/96 ve diğer 7 başvuru numarası. 28/10/1999, 59; Papageorgiou/Yunansitan, B. No: 24628/94, 22/10/1997; Anagnostopoulos ve Diğerleri/Yunanistanan, B. No: 39374/98, 7/11/2000, </w:t>
      </w:r>
      <w:r w:rsidRPr="00B93CF4">
        <w:rPr>
          <w:rStyle w:val="Gvdemetni0"/>
          <w:rFonts w:eastAsia="Courier New"/>
          <w:i/>
          <w:sz w:val="24"/>
          <w:szCs w:val="26"/>
        </w:rPr>
        <w:t>20-21).</w:t>
      </w:r>
    </w:p>
    <w:p w:rsidR="00B93CF4" w:rsidRDefault="00B93CF4" w:rsidP="00B93CF4">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B93CF4">
        <w:rPr>
          <w:rFonts w:ascii="Times New Roman" w:hAnsi="Times New Roman" w:cs="Times New Roman"/>
          <w:i/>
          <w:szCs w:val="26"/>
        </w:rPr>
        <w:t>AİHM müdahalenin “öngörülebilir" olmasını, “belli bir davayı hedef almamasını “az miktarda olması”nı, “zorlayıcı bir kamu yararı taşıması”nı ve “davanın esasının mahkemelerce incelenmesi’ ni şart koşmuştur (Bkz.: (National &amp; Provincial Building Society, Leeds Permanent Building Society ve Yorkshire Building Society/Birleşik Krallık, &amp; 1 12; Forrer-Niedenthal/Almanya, B. No: 21319/93 21449/93 21675/93, 23/10/1997 &amp; 64; OGIS- Institut Stanislas, OGEC Saint-Pie X ve Blanche de Castille ve Diğerleri/Fransa, B. No: 42219/98 54563/00, 27/5/2004, &amp; 71-72).</w:t>
      </w:r>
    </w:p>
    <w:p w:rsidR="00B93CF4" w:rsidRDefault="00B93CF4" w:rsidP="00B93CF4">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lastRenderedPageBreak/>
        <w:t xml:space="preserve"> </w:t>
      </w:r>
      <w:r w:rsidRPr="00B93CF4">
        <w:rPr>
          <w:rFonts w:ascii="Times New Roman" w:hAnsi="Times New Roman" w:cs="Times New Roman"/>
          <w:i/>
          <w:szCs w:val="26"/>
        </w:rPr>
        <w:t>İtiraz başvurusuna konu kural bu açıdan değerlendirildiğinde; öncelikle ilgili kural öngörülebilir değildir, zira davacılar açısından dava açıldığı tarihte bu yönde bir tahminde bulunmak olanaksızdır. Yine ilgili kural belli bir davayı hedef almamakla birlikte sonuçlan itibarıyla mali hakları ciddi tutarlarda etkilemektedir. Ayrıca ilgili kuralın yasama organınca hangi zorlayıcı kamu yararı gereğince kabul edildiği belli değildir. Oysa devam eden davalara belli bir sonucu garanti edecek biçimde müdahale eden ilgili kuralın hangi zorlayıcı kamu yararına matuf kabul edildiğinin açıklanması gerekir. Son olarak ilgili kural gereği mahkemelerin davanın esasını inceleyebilmesi olanaksızdır, çünkü mahkemeler ilgili kuralın amir hükmü gereği davayı davacının aleyhine sonuçlandırmak durumundadır.</w:t>
      </w:r>
    </w:p>
    <w:p w:rsidR="00B93CF4" w:rsidRDefault="00B93CF4" w:rsidP="00B93CF4">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B93CF4">
        <w:rPr>
          <w:rFonts w:ascii="Times New Roman" w:hAnsi="Times New Roman" w:cs="Times New Roman"/>
          <w:i/>
          <w:szCs w:val="26"/>
        </w:rPr>
        <w:t>Yukarıdaki açıklamalar ışığında; İtiraz konusu Kanun hükmü Anayasa’nın 2. maddesinde yerini bulan HUKUK DEVLETİ ilkesini ve 36. maddesinde yer alan ADİL YARGILANMA HAKKINI ihlal etmektedir.</w:t>
      </w:r>
    </w:p>
    <w:p w:rsidR="00B93CF4" w:rsidRDefault="00B93CF4" w:rsidP="00B93CF4">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B93CF4">
        <w:rPr>
          <w:rFonts w:ascii="Times New Roman" w:hAnsi="Times New Roman" w:cs="Times New Roman"/>
          <w:i/>
          <w:szCs w:val="26"/>
        </w:rPr>
        <w:t>SONUÇ VE İSTEM:</w:t>
      </w:r>
    </w:p>
    <w:p w:rsidR="00B93CF4" w:rsidRDefault="00B93CF4" w:rsidP="00B93CF4">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B93CF4">
        <w:rPr>
          <w:rFonts w:ascii="Times New Roman" w:hAnsi="Times New Roman" w:cs="Times New Roman"/>
          <w:i/>
          <w:szCs w:val="26"/>
        </w:rPr>
        <w:t xml:space="preserve">Yukarıda açıklanan nedenlerle, Anayasa’nın 152. maddesinin birinci fıkrası ile 6216 sayılı Anayasa Mahkemesinin Kuruluşu ve Yargılama Usulleri Hakkında Kanunun 40. maddesi uyarınca, bakılan davada uygulanacak kuralın; Anayasa’nın 2. ve 36. maddelerine aykırı olduğu kanaatine varıldığından, anılan düzenlemelerin iptali istemiyle itiraz yoluyla Anayasa Mahkemesine başvurulmasına, dava dosyasının onaylı bir örneği ile iş bu kararın aslının Anayasa Mahkemesine gönderilmesine, Anayasa Mahkemesinin bu konuda vereceği karara kadar 5 ay süreyle davanın geri bırakılmasına, bu süre içerisinde Anayasa Mahkemesince bir karar verilmemesi halinde, mevcut mevzuat hükümleri ile dosyadaki bilgi ve belgelere göre davanın görülmesine, kararın bir örneğinin taraflara tebliğine, </w:t>
      </w:r>
      <w:r w:rsidRPr="00B93CF4">
        <w:rPr>
          <w:rStyle w:val="GvdemetniKaln"/>
          <w:rFonts w:eastAsia="Courier New"/>
          <w:b w:val="0"/>
          <w:i/>
          <w:sz w:val="24"/>
          <w:szCs w:val="26"/>
        </w:rPr>
        <w:t>14/10/2016</w:t>
      </w:r>
      <w:r w:rsidRPr="00B93CF4">
        <w:rPr>
          <w:rStyle w:val="GvdemetniKaln"/>
          <w:rFonts w:eastAsia="Courier New"/>
          <w:i/>
          <w:sz w:val="24"/>
          <w:szCs w:val="26"/>
        </w:rPr>
        <w:t xml:space="preserve"> </w:t>
      </w:r>
      <w:r w:rsidRPr="00B93CF4">
        <w:rPr>
          <w:rFonts w:ascii="Times New Roman" w:hAnsi="Times New Roman" w:cs="Times New Roman"/>
          <w:i/>
          <w:szCs w:val="26"/>
        </w:rPr>
        <w:t>tarihinde karar verildi.”</w:t>
      </w:r>
    </w:p>
    <w:p w:rsidR="00B93CF4" w:rsidRDefault="00B93CF4" w:rsidP="00B93CF4">
      <w:pPr>
        <w:pStyle w:val="Gvdemetni50"/>
        <w:widowControl/>
        <w:shd w:val="clear" w:color="auto" w:fill="auto"/>
        <w:tabs>
          <w:tab w:val="left" w:pos="1134"/>
        </w:tabs>
        <w:spacing w:before="100" w:beforeAutospacing="1" w:after="100" w:afterAutospacing="1" w:line="240" w:lineRule="auto"/>
        <w:ind w:firstLine="709"/>
        <w:jc w:val="both"/>
        <w:rPr>
          <w:rFonts w:ascii="Times New Roman" w:hAnsi="Times New Roman" w:cs="Times New Roman"/>
          <w:i/>
          <w:sz w:val="24"/>
          <w:szCs w:val="26"/>
        </w:rPr>
      </w:pPr>
    </w:p>
    <w:p w:rsidR="001D02E4" w:rsidRPr="00B93CF4" w:rsidRDefault="001D02E4" w:rsidP="00B93CF4">
      <w:pPr>
        <w:widowControl/>
        <w:spacing w:before="100" w:beforeAutospacing="1" w:after="100" w:afterAutospacing="1"/>
        <w:ind w:firstLine="709"/>
        <w:jc w:val="both"/>
        <w:rPr>
          <w:rFonts w:ascii="Times New Roman" w:hAnsi="Times New Roman" w:cs="Times New Roman"/>
        </w:rPr>
      </w:pPr>
      <w:bookmarkStart w:id="0" w:name="_GoBack"/>
      <w:bookmarkEnd w:id="0"/>
    </w:p>
    <w:sectPr w:rsidR="001D02E4" w:rsidRPr="00B93CF4" w:rsidSect="00B93CF4">
      <w:headerReference w:type="default" r:id="rId6"/>
      <w:footerReference w:type="even" r:id="rId7"/>
      <w:footerReference w:type="default" r:id="rId8"/>
      <w:type w:val="continuous"/>
      <w:pgSz w:w="11906" w:h="16838" w:code="9"/>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A67" w:rsidRDefault="00247A67" w:rsidP="00B93CF4">
      <w:r>
        <w:separator/>
      </w:r>
    </w:p>
  </w:endnote>
  <w:endnote w:type="continuationSeparator" w:id="0">
    <w:p w:rsidR="00247A67" w:rsidRDefault="00247A67" w:rsidP="00B93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CF4" w:rsidRDefault="00B93CF4" w:rsidP="00B93CF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93CF4" w:rsidRDefault="00B93CF4" w:rsidP="00B93CF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CF4" w:rsidRPr="00B93CF4" w:rsidRDefault="00B93CF4" w:rsidP="00B93CF4">
    <w:pPr>
      <w:pStyle w:val="Altbilgi"/>
      <w:framePr w:wrap="around" w:vAnchor="text" w:hAnchor="margin" w:xAlign="right" w:y="1"/>
      <w:rPr>
        <w:rStyle w:val="SayfaNumaras"/>
        <w:rFonts w:ascii="Times New Roman" w:hAnsi="Times New Roman" w:cs="Times New Roman"/>
      </w:rPr>
    </w:pPr>
    <w:r w:rsidRPr="00B93CF4">
      <w:rPr>
        <w:rStyle w:val="SayfaNumaras"/>
        <w:rFonts w:ascii="Times New Roman" w:hAnsi="Times New Roman" w:cs="Times New Roman"/>
      </w:rPr>
      <w:fldChar w:fldCharType="begin"/>
    </w:r>
    <w:r w:rsidRPr="00B93CF4">
      <w:rPr>
        <w:rStyle w:val="SayfaNumaras"/>
        <w:rFonts w:ascii="Times New Roman" w:hAnsi="Times New Roman" w:cs="Times New Roman"/>
      </w:rPr>
      <w:instrText xml:space="preserve">PAGE  </w:instrText>
    </w:r>
    <w:r w:rsidRPr="00B93CF4">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93CF4">
      <w:rPr>
        <w:rStyle w:val="SayfaNumaras"/>
        <w:rFonts w:ascii="Times New Roman" w:hAnsi="Times New Roman" w:cs="Times New Roman"/>
      </w:rPr>
      <w:fldChar w:fldCharType="end"/>
    </w:r>
  </w:p>
  <w:p w:rsidR="00B93CF4" w:rsidRPr="00B93CF4" w:rsidRDefault="00B93CF4" w:rsidP="00B93CF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A67" w:rsidRDefault="00247A67" w:rsidP="00B93CF4">
      <w:r>
        <w:separator/>
      </w:r>
    </w:p>
  </w:footnote>
  <w:footnote w:type="continuationSeparator" w:id="0">
    <w:p w:rsidR="00247A67" w:rsidRDefault="00247A67" w:rsidP="00B93C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CF4" w:rsidRPr="00997AFC" w:rsidRDefault="00B93CF4" w:rsidP="00B93CF4">
    <w:pPr>
      <w:shd w:val="clear" w:color="auto" w:fill="FFFFFF"/>
      <w:jc w:val="both"/>
      <w:rPr>
        <w:rFonts w:ascii="Times New Roman" w:eastAsia="Times New Roman" w:hAnsi="Times New Roman" w:cs="Times New Roman"/>
        <w:b/>
        <w:bCs/>
        <w:szCs w:val="26"/>
      </w:rPr>
    </w:pPr>
    <w:r w:rsidRPr="00997AFC">
      <w:rPr>
        <w:rFonts w:ascii="Times New Roman" w:eastAsia="Times New Roman" w:hAnsi="Times New Roman" w:cs="Times New Roman"/>
        <w:b/>
        <w:bCs/>
        <w:szCs w:val="26"/>
      </w:rPr>
      <w:t>Esas Sayısı       :  2016/204</w:t>
    </w:r>
  </w:p>
  <w:p w:rsidR="00B93CF4" w:rsidRPr="00997AFC" w:rsidRDefault="00B93CF4" w:rsidP="00B93CF4">
    <w:pPr>
      <w:shd w:val="clear" w:color="auto" w:fill="FFFFFF"/>
      <w:jc w:val="both"/>
      <w:rPr>
        <w:rFonts w:ascii="Times New Roman" w:eastAsia="Times New Roman" w:hAnsi="Times New Roman" w:cs="Times New Roman"/>
        <w:b/>
        <w:bCs/>
        <w:szCs w:val="26"/>
      </w:rPr>
    </w:pPr>
    <w:r w:rsidRPr="00997AFC">
      <w:rPr>
        <w:rFonts w:ascii="Times New Roman" w:eastAsia="Times New Roman" w:hAnsi="Times New Roman" w:cs="Times New Roman"/>
        <w:b/>
        <w:bCs/>
        <w:szCs w:val="26"/>
      </w:rPr>
      <w:t>Karar Sayısı    :  2016/196</w:t>
    </w:r>
  </w:p>
  <w:p w:rsidR="0065556B" w:rsidRPr="00B93CF4" w:rsidRDefault="00247A67" w:rsidP="00B93CF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CF4"/>
    <w:rsid w:val="001D02E4"/>
    <w:rsid w:val="00247A67"/>
    <w:rsid w:val="00B93C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29ED8-7DB4-4014-A341-9C21853B7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93CF4"/>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rsid w:val="00B93CF4"/>
    <w:rPr>
      <w:rFonts w:ascii="Times New Roman" w:eastAsia="Times New Roman" w:hAnsi="Times New Roman" w:cs="Times New Roman"/>
      <w:b w:val="0"/>
      <w:bCs w:val="0"/>
      <w:i w:val="0"/>
      <w:iCs w:val="0"/>
      <w:smallCaps w:val="0"/>
      <w:strike w:val="0"/>
      <w:sz w:val="21"/>
      <w:szCs w:val="21"/>
      <w:u w:val="none"/>
    </w:rPr>
  </w:style>
  <w:style w:type="character" w:customStyle="1" w:styleId="GvdemetniKaln">
    <w:name w:val="Gövde metni + Kalın"/>
    <w:basedOn w:val="Gvdemetni"/>
    <w:rsid w:val="00B93CF4"/>
    <w:rPr>
      <w:rFonts w:ascii="Times New Roman" w:eastAsia="Times New Roman" w:hAnsi="Times New Roman" w:cs="Times New Roman"/>
      <w:b/>
      <w:bCs/>
      <w:i w:val="0"/>
      <w:iCs w:val="0"/>
      <w:smallCaps w:val="0"/>
      <w:strike w:val="0"/>
      <w:color w:val="000000"/>
      <w:spacing w:val="0"/>
      <w:w w:val="100"/>
      <w:position w:val="0"/>
      <w:sz w:val="21"/>
      <w:szCs w:val="21"/>
      <w:u w:val="none"/>
      <w:lang w:val="tr-TR"/>
    </w:rPr>
  </w:style>
  <w:style w:type="character" w:customStyle="1" w:styleId="Gvdemetni0">
    <w:name w:val="Gövde metni"/>
    <w:basedOn w:val="Gvdemetni"/>
    <w:rsid w:val="00B93CF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rPr>
  </w:style>
  <w:style w:type="character" w:customStyle="1" w:styleId="Gvdemetni5">
    <w:name w:val="Gövde metni (5)_"/>
    <w:basedOn w:val="VarsaylanParagrafYazTipi"/>
    <w:link w:val="Gvdemetni50"/>
    <w:rsid w:val="00B93CF4"/>
    <w:rPr>
      <w:rFonts w:ascii="Arial Unicode MS" w:eastAsia="Arial Unicode MS" w:hAnsi="Arial Unicode MS" w:cs="Arial Unicode MS"/>
      <w:spacing w:val="-20"/>
      <w:sz w:val="54"/>
      <w:szCs w:val="54"/>
      <w:shd w:val="clear" w:color="auto" w:fill="FFFFFF"/>
    </w:rPr>
  </w:style>
  <w:style w:type="paragraph" w:customStyle="1" w:styleId="Gvdemetni50">
    <w:name w:val="Gövde metni (5)"/>
    <w:basedOn w:val="Normal"/>
    <w:link w:val="Gvdemetni5"/>
    <w:rsid w:val="00B93CF4"/>
    <w:pPr>
      <w:shd w:val="clear" w:color="auto" w:fill="FFFFFF"/>
      <w:spacing w:line="0" w:lineRule="atLeast"/>
    </w:pPr>
    <w:rPr>
      <w:rFonts w:ascii="Arial Unicode MS" w:eastAsia="Arial Unicode MS" w:hAnsi="Arial Unicode MS" w:cs="Arial Unicode MS"/>
      <w:color w:val="auto"/>
      <w:spacing w:val="-20"/>
      <w:sz w:val="54"/>
      <w:szCs w:val="54"/>
      <w:lang w:eastAsia="en-US"/>
    </w:rPr>
  </w:style>
  <w:style w:type="paragraph" w:styleId="stbilgi">
    <w:name w:val="header"/>
    <w:basedOn w:val="Normal"/>
    <w:link w:val="stbilgiChar"/>
    <w:uiPriority w:val="99"/>
    <w:unhideWhenUsed/>
    <w:rsid w:val="00B93CF4"/>
    <w:pPr>
      <w:tabs>
        <w:tab w:val="center" w:pos="4536"/>
        <w:tab w:val="right" w:pos="9072"/>
      </w:tabs>
    </w:pPr>
  </w:style>
  <w:style w:type="character" w:customStyle="1" w:styleId="stbilgiChar">
    <w:name w:val="Üstbilgi Char"/>
    <w:basedOn w:val="VarsaylanParagrafYazTipi"/>
    <w:link w:val="stbilgi"/>
    <w:uiPriority w:val="99"/>
    <w:rsid w:val="00B93CF4"/>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B93CF4"/>
    <w:pPr>
      <w:tabs>
        <w:tab w:val="center" w:pos="4536"/>
        <w:tab w:val="right" w:pos="9072"/>
      </w:tabs>
    </w:pPr>
  </w:style>
  <w:style w:type="character" w:customStyle="1" w:styleId="AltbilgiChar">
    <w:name w:val="Altbilgi Char"/>
    <w:basedOn w:val="VarsaylanParagrafYazTipi"/>
    <w:link w:val="Altbilgi"/>
    <w:uiPriority w:val="99"/>
    <w:rsid w:val="00B93CF4"/>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B93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832</Words>
  <Characters>4746</Characters>
  <Application>Microsoft Office Word</Application>
  <DocSecurity>0</DocSecurity>
  <Lines>39</Lines>
  <Paragraphs>11</Paragraphs>
  <ScaleCrop>false</ScaleCrop>
  <Company/>
  <LinksUpToDate>false</LinksUpToDate>
  <CharactersWithSpaces>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2019-03-15T13:07:00Z</dcterms:created>
  <dcterms:modified xsi:type="dcterms:W3CDTF">2019-03-15T13:13:00Z</dcterms:modified>
</cp:coreProperties>
</file>