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“Davacı …. tarafından mühendis olarak görev yaptığı davalı idare bünyesinde 15.01.2012 tarihinden önce aynı ünvanla aynı kurumda göreve başlayan diğer kamu görevlileriyle mali ve sosyal haklarının eşitlenmesine yönelik talebin reddine ilişkin işlemin iptali istemiyle RADYO VE TELEVİZYON ÜST KURULU’na karşı açılan davada gereği düşünüldü.</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Anayasanın “Anayasaya Aykırılığın Diğer Mahkemelerde İleri Sürülmesi” başlıklı 152.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30.3.2011 tarihli ve 6216 sayılı Anayasa Mahkemesinin Kuruluşu ve Yargılama Usulleri Hakkında Kanunun “Anayasaya Aykırılığın Mahkemelerce İleri Sürülmesi” başlıklı 40. maddesinde, “Bir davaya bakmakta olan mahkeme, bu davada uygulanacak bir kanun veya kanun hükmünde kararnamenin hükümlerini Anayasaya aykırı görürse veya taraflardan birinin ileri sürdüğü aykırılık iddiasının ciddi olduğu kanısına varırsa;</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a) İptali istenen kuralların Anayasanın hangi maddelerine aykırı olduklarını açıklayan gerekçeli başvuru kararının aslını,</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b) Başvuru kararma ilişkin tutanağın onaylı örneğini,</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c) Dava dilekçesi, iddianame veya davayı açan belgeler ile dosyanın ilgili bölümlerinin onaylı örneklerini, dizi listesine bağlayarak Anayasa Mahkemesine gönderir.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Taraflarca ileri sürülen Anayasaya aykırılık iddiası davaya bakan mahkemece ciddi görülmezse bu konudaki talep, gerekçeleri de gösterilmek suretiyle reddedilir. Bu husus esas hükümle birlikte temyiz konusu yapılabilir.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Anayasa Mahkemesi, işin kendisine noksansız olarak gelişinden başlamak üzere beş ay içinde kararını verir ve açıklar. Bu süre içinde karar verilmezse ilgili mahkeme davayı yürürlükteki hükümlere göre sonuçlandırır. Ancak, Anayasa Mahkemesinin karan, esas hakkındaki karar kesinleşinceye kadar gelirse mahkeme buna uymak zorundadır.” hükmüne yer verilmiştir.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Bir mahkemenin Anayasa Mahkemesine başvurabilmesi için elinde yöntemince açılmış ve görevine giren bir dava bulunması ve iptali istenen kuralın da o davada uygulanacak olması gerektiği hususu, Anayasa Mahkemesinin istikrar kazanmış yerleşik kararlarında açıkça vurgulanmıştır.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I- BAKILAN DAVADA UYGULANACAK KANUN KURALI</w:t>
      </w:r>
    </w:p>
    <w:p w:rsidR="00E4685D" w:rsidRPr="00E4685D" w:rsidRDefault="00E4685D" w:rsidP="00E4685D">
      <w:pPr>
        <w:pStyle w:val="Gvdemetni70"/>
        <w:widowControl/>
        <w:shd w:val="clear" w:color="auto" w:fill="auto"/>
        <w:tabs>
          <w:tab w:val="left" w:pos="1134"/>
        </w:tabs>
        <w:spacing w:before="100" w:beforeAutospacing="1" w:after="100" w:afterAutospacing="1" w:line="240" w:lineRule="auto"/>
        <w:ind w:firstLine="709"/>
        <w:rPr>
          <w:sz w:val="24"/>
          <w:szCs w:val="26"/>
        </w:rPr>
      </w:pPr>
      <w:r w:rsidRPr="00E4685D">
        <w:rPr>
          <w:rStyle w:val="Gvdemetni7talikdeil"/>
          <w:sz w:val="24"/>
          <w:szCs w:val="26"/>
        </w:rPr>
        <w:t xml:space="preserve"> </w:t>
      </w:r>
      <w:r w:rsidRPr="00E4685D">
        <w:rPr>
          <w:rStyle w:val="Gvdemetni7talikdeil"/>
          <w:sz w:val="24"/>
          <w:szCs w:val="26"/>
        </w:rPr>
        <w:t xml:space="preserve">6495 sayılı Kanun’un 73. maddesiyle 375 sayılı Kanun Hükmünde Kararname’nin Ek 11. maddesinin 1. fıkrasının (d) bendinde </w:t>
      </w:r>
      <w:r w:rsidRPr="00E4685D">
        <w:rPr>
          <w:sz w:val="24"/>
          <w:szCs w:val="26"/>
        </w:rPr>
        <w:t xml:space="preserve">“(b)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w:t>
      </w:r>
      <w:r w:rsidRPr="00E4685D">
        <w:rPr>
          <w:sz w:val="24"/>
          <w:szCs w:val="26"/>
        </w:rPr>
        <w:lastRenderedPageBreak/>
        <w:t>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w:t>
      </w:r>
      <w:r w:rsidRPr="00E4685D">
        <w:rPr>
          <w:rStyle w:val="Gvdemetni7talikdeil"/>
          <w:sz w:val="24"/>
          <w:szCs w:val="26"/>
        </w:rPr>
        <w:t xml:space="preserve"> şeklinde düzenlenen hüküm bakılan davada uygulanacak kanun hükmü niteliğindedir.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II) ANAYASAL DÜZENLEMELER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Anayasanın;</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 xml:space="preserve">a-) “Cumhuriyetin nitelikleri” başlıklı 2. maddesinde; “Türkiye Cumhuriyeti, toplumun huzuru, milli dayanışma ve adalet anlayışı içinde, insan haklarına saygılı, Atatürk milliyetçiliğine bağlı, başlangıçta belirtilen temel ilkelere dayanan, demokratik, laik ve sosyal </w:t>
      </w:r>
      <w:r w:rsidRPr="00E4685D">
        <w:rPr>
          <w:rStyle w:val="GvdemetniKaln"/>
          <w:b w:val="0"/>
          <w:sz w:val="24"/>
          <w:szCs w:val="26"/>
        </w:rPr>
        <w:t xml:space="preserve">bir hukuk </w:t>
      </w:r>
      <w:r w:rsidRPr="00E4685D">
        <w:rPr>
          <w:sz w:val="24"/>
          <w:szCs w:val="26"/>
        </w:rPr>
        <w:t>Devletidir.” hükmüne;</w:t>
      </w:r>
    </w:p>
    <w:p w:rsidR="00E4685D" w:rsidRPr="00E4685D" w:rsidRDefault="00E4685D" w:rsidP="00E4685D">
      <w:pPr>
        <w:pStyle w:val="Gvdemetni20"/>
        <w:widowControl/>
        <w:shd w:val="clear" w:color="auto" w:fill="auto"/>
        <w:tabs>
          <w:tab w:val="left" w:pos="1134"/>
        </w:tabs>
        <w:spacing w:before="100" w:beforeAutospacing="1" w:after="100" w:afterAutospacing="1" w:line="240" w:lineRule="auto"/>
        <w:ind w:firstLine="709"/>
        <w:jc w:val="both"/>
        <w:rPr>
          <w:b w:val="0"/>
          <w:sz w:val="24"/>
          <w:szCs w:val="26"/>
        </w:rPr>
      </w:pPr>
      <w:r w:rsidRPr="00E4685D">
        <w:rPr>
          <w:rStyle w:val="Gvdemetni2KalnDeil"/>
          <w:sz w:val="24"/>
          <w:szCs w:val="26"/>
        </w:rPr>
        <w:t xml:space="preserve"> </w:t>
      </w:r>
      <w:r w:rsidRPr="00E4685D">
        <w:rPr>
          <w:rStyle w:val="Gvdemetni2KalnDeil"/>
          <w:sz w:val="24"/>
          <w:szCs w:val="26"/>
        </w:rPr>
        <w:t xml:space="preserve">b-) “Kanun Önünde Eşitlik” başlıklı 10. maddesinde; </w:t>
      </w:r>
      <w:r w:rsidRPr="00E4685D">
        <w:rPr>
          <w:b w:val="0"/>
          <w:sz w:val="24"/>
          <w:szCs w:val="26"/>
        </w:rPr>
        <w:t>“Herkes, dil, ırk, renk, cinsiyet, siyasî düşünce, felsefî inanç, din, mezhep ve benzeri sebeplerle ayırım gözetilmeksizin kanun önünde eşittir.</w:t>
      </w:r>
    </w:p>
    <w:p w:rsidR="00E4685D" w:rsidRPr="00E4685D" w:rsidRDefault="00E4685D" w:rsidP="00E4685D">
      <w:pPr>
        <w:pStyle w:val="Gvdemetni20"/>
        <w:widowControl/>
        <w:shd w:val="clear" w:color="auto" w:fill="auto"/>
        <w:tabs>
          <w:tab w:val="left" w:pos="1134"/>
        </w:tabs>
        <w:spacing w:before="100" w:beforeAutospacing="1" w:after="100" w:afterAutospacing="1" w:line="240" w:lineRule="auto"/>
        <w:ind w:firstLine="709"/>
        <w:jc w:val="both"/>
        <w:rPr>
          <w:b w:val="0"/>
          <w:sz w:val="24"/>
          <w:szCs w:val="26"/>
        </w:rPr>
      </w:pPr>
      <w:r w:rsidRPr="00E4685D">
        <w:rPr>
          <w:b w:val="0"/>
          <w:sz w:val="24"/>
          <w:szCs w:val="26"/>
        </w:rPr>
        <w:t xml:space="preserve"> </w:t>
      </w:r>
      <w:r w:rsidRPr="00E4685D">
        <w:rPr>
          <w:b w:val="0"/>
          <w:sz w:val="24"/>
          <w:szCs w:val="26"/>
        </w:rPr>
        <w:t>Kadınlar ve erkekler eşit haklara sahiptir. Devlet, bu eşitliğin yaşama geçmesini sağlamakla yükümlüdür. Bu maksatla alınacak tedbirler eşitlik ilkesine aykırı olarak yorumlanamaz.</w:t>
      </w:r>
    </w:p>
    <w:p w:rsidR="00E4685D" w:rsidRPr="00E4685D" w:rsidRDefault="00E4685D" w:rsidP="00E4685D">
      <w:pPr>
        <w:pStyle w:val="Gvdemetni20"/>
        <w:widowControl/>
        <w:shd w:val="clear" w:color="auto" w:fill="auto"/>
        <w:tabs>
          <w:tab w:val="left" w:pos="1134"/>
        </w:tabs>
        <w:spacing w:before="100" w:beforeAutospacing="1" w:after="100" w:afterAutospacing="1" w:line="240" w:lineRule="auto"/>
        <w:ind w:firstLine="709"/>
        <w:jc w:val="both"/>
        <w:rPr>
          <w:b w:val="0"/>
          <w:sz w:val="24"/>
          <w:szCs w:val="26"/>
        </w:rPr>
      </w:pPr>
      <w:r w:rsidRPr="00E4685D">
        <w:rPr>
          <w:b w:val="0"/>
          <w:sz w:val="24"/>
          <w:szCs w:val="26"/>
        </w:rPr>
        <w:t xml:space="preserve"> </w:t>
      </w:r>
      <w:r w:rsidRPr="00E4685D">
        <w:rPr>
          <w:b w:val="0"/>
          <w:sz w:val="24"/>
          <w:szCs w:val="26"/>
        </w:rPr>
        <w:t>Çocuklar, yaşlılar, özürlüler, harp ve vazife şehitlerinin dul ve yetimleri ile malul ve gaziler için alınacak tedbirler eşitlik ilkesine aykırı sayılmaz.</w:t>
      </w:r>
    </w:p>
    <w:p w:rsidR="00E4685D" w:rsidRPr="00E4685D" w:rsidRDefault="00E4685D" w:rsidP="00E4685D">
      <w:pPr>
        <w:pStyle w:val="Gvdemetni20"/>
        <w:widowControl/>
        <w:shd w:val="clear" w:color="auto" w:fill="auto"/>
        <w:tabs>
          <w:tab w:val="left" w:pos="1134"/>
        </w:tabs>
        <w:spacing w:before="100" w:beforeAutospacing="1" w:after="100" w:afterAutospacing="1" w:line="240" w:lineRule="auto"/>
        <w:ind w:firstLine="709"/>
        <w:jc w:val="both"/>
        <w:rPr>
          <w:b w:val="0"/>
          <w:sz w:val="24"/>
          <w:szCs w:val="26"/>
        </w:rPr>
      </w:pPr>
      <w:r w:rsidRPr="00E4685D">
        <w:rPr>
          <w:b w:val="0"/>
          <w:sz w:val="24"/>
          <w:szCs w:val="26"/>
        </w:rPr>
        <w:t xml:space="preserve"> </w:t>
      </w:r>
      <w:r w:rsidRPr="00E4685D">
        <w:rPr>
          <w:b w:val="0"/>
          <w:sz w:val="24"/>
          <w:szCs w:val="26"/>
        </w:rPr>
        <w:t>Hiçbir kişiye, aileye, zümreye veya sınıfa imtiyaz tanınamaz.</w:t>
      </w:r>
    </w:p>
    <w:p w:rsidR="00E4685D" w:rsidRPr="00E4685D" w:rsidRDefault="00E4685D" w:rsidP="00E4685D">
      <w:pPr>
        <w:pStyle w:val="Gvdemetni20"/>
        <w:widowControl/>
        <w:shd w:val="clear" w:color="auto" w:fill="auto"/>
        <w:tabs>
          <w:tab w:val="left" w:pos="1134"/>
        </w:tabs>
        <w:spacing w:before="100" w:beforeAutospacing="1" w:after="100" w:afterAutospacing="1" w:line="240" w:lineRule="auto"/>
        <w:ind w:firstLine="709"/>
        <w:jc w:val="both"/>
        <w:rPr>
          <w:b w:val="0"/>
          <w:sz w:val="24"/>
          <w:szCs w:val="26"/>
        </w:rPr>
      </w:pPr>
      <w:r w:rsidRPr="00E4685D">
        <w:rPr>
          <w:b w:val="0"/>
          <w:sz w:val="24"/>
          <w:szCs w:val="26"/>
        </w:rPr>
        <w:t xml:space="preserve"> </w:t>
      </w:r>
      <w:r w:rsidRPr="00E4685D">
        <w:rPr>
          <w:b w:val="0"/>
          <w:sz w:val="24"/>
          <w:szCs w:val="26"/>
        </w:rPr>
        <w:t xml:space="preserve">Devlet organları ve idare makamları bütün işlemlerinde kanun önünde eşitlik ilkesine uygun olarak hareket etmek zorundadırlar.” </w:t>
      </w:r>
      <w:r w:rsidRPr="00E4685D">
        <w:rPr>
          <w:rStyle w:val="Gvdemetni2KalnDeil"/>
          <w:sz w:val="24"/>
          <w:szCs w:val="26"/>
        </w:rPr>
        <w:t>hükmüne;</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c-) Anayasanın 49. maddesinde “Çalışma, herkesin hakkı ve ödevidir.</w:t>
      </w:r>
    </w:p>
    <w:p w:rsidR="00E4685D" w:rsidRPr="00E4685D" w:rsidRDefault="00E4685D" w:rsidP="00E4685D">
      <w:pPr>
        <w:pStyle w:val="Gvdemetni20"/>
        <w:widowControl/>
        <w:shd w:val="clear" w:color="auto" w:fill="auto"/>
        <w:tabs>
          <w:tab w:val="left" w:pos="1134"/>
        </w:tabs>
        <w:spacing w:before="100" w:beforeAutospacing="1" w:after="100" w:afterAutospacing="1" w:line="240" w:lineRule="auto"/>
        <w:ind w:firstLine="709"/>
        <w:jc w:val="both"/>
        <w:rPr>
          <w:b w:val="0"/>
          <w:sz w:val="24"/>
          <w:szCs w:val="26"/>
        </w:rPr>
      </w:pPr>
      <w:r w:rsidRPr="00E4685D">
        <w:rPr>
          <w:b w:val="0"/>
          <w:sz w:val="24"/>
          <w:szCs w:val="26"/>
        </w:rPr>
        <w:t xml:space="preserve"> </w:t>
      </w:r>
      <w:r w:rsidRPr="00E4685D">
        <w:rPr>
          <w:b w:val="0"/>
          <w:sz w:val="24"/>
          <w:szCs w:val="26"/>
        </w:rPr>
        <w:t xml:space="preserve">Devlet, çalışanların hayat seviyesini yükseltmek, çalışma hayatını geliştirmek için çalışanları ve işsizleri korumak, çalışmayı desteklemek, işsizliği önlemeye elverişli ekonomik bir ortam yaratmak ve çalışma barışını </w:t>
      </w:r>
      <w:r w:rsidRPr="00E4685D">
        <w:rPr>
          <w:rStyle w:val="Gvdemetni2KalnDeil"/>
          <w:sz w:val="24"/>
          <w:szCs w:val="26"/>
        </w:rPr>
        <w:t>sağlamak için gerekli tedbirleri alır.” hükmüne;</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 xml:space="preserve">d-) Anayasanın 5. maddesinde “Devletin temel amaç ve görevleri, Türk milletinin bağımsızlığını ve bütünlüğünü, ülkenin bölünmezliğini, Cumhuriyeti ve demokrasiyi korumak, kişilerin ve toplumun refah, huzur ve mutluluğunu sağlamak; </w:t>
      </w:r>
      <w:r w:rsidRPr="00E4685D">
        <w:rPr>
          <w:rStyle w:val="GvdemetniKaln"/>
          <w:b w:val="0"/>
          <w:sz w:val="24"/>
          <w:szCs w:val="26"/>
        </w:rPr>
        <w:t xml:space="preserve">kişinin temel hak ve hürriyetlerini, sosyal hukuk devleti ve adalet ilkeleriyle bağdaşmayacak surette sınırlayan siyasal, ekonomik ve sosyal engelleri kaldırmaya, </w:t>
      </w:r>
      <w:r w:rsidRPr="00E4685D">
        <w:rPr>
          <w:sz w:val="24"/>
          <w:szCs w:val="26"/>
        </w:rPr>
        <w:t>insanın maddî ve manevî varlığının gelişmesi için gerekli şartlan hazırlamaya çalışmaktır.” hükmüne yer verilmiştir.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III) ANAYASAYA AYKIRILIĞININ DEĞERLENDİRİLMESİ:</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Anayasanın 2. maddesi hukuk devleti ilkesini, 10. maddesi ise kanun önünde eşitlik ilkesini düzenlemektedir.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lastRenderedPageBreak/>
        <w:t xml:space="preserve"> </w:t>
      </w:r>
      <w:r w:rsidRPr="00E4685D">
        <w:rPr>
          <w:sz w:val="24"/>
          <w:szCs w:val="26"/>
        </w:rPr>
        <w:t>Anayasanın 2. maddesinde belirtilen hukuk devleti, eylem ve işlemleri hukuka uygun ve insan haklarına dayanan, bu hak ve özgürlükleri koruyup güçlendiren, her alanda adil bir hukuk düzeni kurup bunu geliştirerek sürdüren, Anayasaya aykırı durum ve tutumlardan kaçman, hukukun üstün kurallarıyla kendini bağlı sayan, yargı denetimlerine açık olan devlet ifade eder.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oldukları belirtilmiştir.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 xml:space="preserve">Anayasa’nın 10. maddesinde öngörülen eşitlik ilkesi </w:t>
      </w:r>
      <w:r w:rsidRPr="00E4685D">
        <w:rPr>
          <w:rStyle w:val="GvdemetniKaln"/>
          <w:b w:val="0"/>
          <w:sz w:val="24"/>
          <w:szCs w:val="26"/>
        </w:rPr>
        <w:t xml:space="preserve">hukuksal durumları aynı olanlar için söz konusudur. </w:t>
      </w:r>
      <w:r w:rsidRPr="00E4685D">
        <w:rPr>
          <w:sz w:val="24"/>
          <w:szCs w:val="26"/>
        </w:rPr>
        <w:t xml:space="preserve">Bu ilke ile eylemli değil hukuksal eşitlik öngörülmektedir. Eşitlik ilkesinin amacı, </w:t>
      </w:r>
      <w:r w:rsidRPr="00E4685D">
        <w:rPr>
          <w:rStyle w:val="GvdemetniKaln"/>
          <w:b w:val="0"/>
          <w:sz w:val="24"/>
          <w:szCs w:val="26"/>
        </w:rPr>
        <w:t xml:space="preserve">aynı durumda bulunan kişilerin aynı işleme bağlı tutulmalarını sağlamak ve kişilere kanun karşısında ayırım yapılmasını ve ayrıcalık tanınmasını önlemektir. </w:t>
      </w:r>
      <w:r w:rsidRPr="00E4685D">
        <w:rPr>
          <w:sz w:val="24"/>
          <w:szCs w:val="26"/>
        </w:rPr>
        <w:t xml:space="preserve">Bu ilkeyle, </w:t>
      </w:r>
      <w:r w:rsidRPr="00E4685D">
        <w:rPr>
          <w:rStyle w:val="GvdemetniKaln"/>
          <w:b w:val="0"/>
          <w:sz w:val="24"/>
          <w:szCs w:val="26"/>
        </w:rPr>
        <w:t xml:space="preserve">aynı durumda bulunan kimi kişi ve topluluklara ayrı kurallar uygulanarak kanun karşısında eşitliğin ihlali yasaklanmıştır. </w:t>
      </w:r>
      <w:r w:rsidRPr="00E4685D">
        <w:rPr>
          <w:sz w:val="24"/>
          <w:szCs w:val="26"/>
        </w:rPr>
        <w:t xml:space="preserve">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 </w:t>
      </w:r>
      <w:r w:rsidRPr="00E4685D">
        <w:rPr>
          <w:rStyle w:val="GvdemetniKaln"/>
          <w:b w:val="0"/>
          <w:sz w:val="24"/>
          <w:szCs w:val="26"/>
        </w:rPr>
        <w:t>(Anayasa Mahkemesi, 08.12.2015 tarih ve E.2014/82, K.2015/112 ve diğer birçok kararı)</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 xml:space="preserve">Anayasa’nın 49. maddesinde, çalışmanın, herkesin hakkı ve ödevi olduğu belirtilmiş; Devlete, çalışanların yaşam düzeyini yükseltmek, çalışma yaşamını geliştirmek için çalışanları korumak, çalışmayı denetlemek, işsizliği gidermeye elverişli ekonomik bir ortam yaratmak ve </w:t>
      </w:r>
      <w:r w:rsidRPr="00E4685D">
        <w:rPr>
          <w:rStyle w:val="GvdemetniKaln"/>
          <w:b w:val="0"/>
          <w:sz w:val="24"/>
          <w:szCs w:val="26"/>
        </w:rPr>
        <w:t xml:space="preserve">çalışma barışını sağlamak için gerekli önlemleri alma </w:t>
      </w:r>
      <w:r w:rsidRPr="00E4685D">
        <w:rPr>
          <w:sz w:val="24"/>
          <w:szCs w:val="26"/>
        </w:rPr>
        <w:t>ödevi verilmiştir. Çalışanların yaşam düzeyinin yükseltilmesi ve çalışma yaşamının geliştirilmesi için çalışanların korunması ödevinin, çalışanların güvenli ve sağlıklı bir iş ortamında çalışmalarının temin edilmesini de kapsadığı açıktır.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Anayasa’nın 5. maddesinde, ‘İnsanın maddi ve manevi varlığının gelişmesi için gerekli şartları hazırlama’ Devletin temel amaç ve görevleri arasında sayılmıştır.</w:t>
      </w:r>
    </w:p>
    <w:p w:rsidR="00E4685D" w:rsidRPr="00E4685D" w:rsidRDefault="00E4685D" w:rsidP="00E4685D">
      <w:pPr>
        <w:pStyle w:val="Gvdemetni70"/>
        <w:widowControl/>
        <w:shd w:val="clear" w:color="auto" w:fill="auto"/>
        <w:tabs>
          <w:tab w:val="left" w:pos="1134"/>
        </w:tabs>
        <w:spacing w:before="100" w:beforeAutospacing="1" w:after="100" w:afterAutospacing="1" w:line="240" w:lineRule="auto"/>
        <w:ind w:firstLine="709"/>
        <w:rPr>
          <w:sz w:val="24"/>
          <w:szCs w:val="26"/>
        </w:rPr>
      </w:pPr>
      <w:r w:rsidRPr="00E4685D">
        <w:rPr>
          <w:rStyle w:val="Gvdemetni7talikdeil"/>
          <w:sz w:val="24"/>
          <w:szCs w:val="26"/>
        </w:rPr>
        <w:t xml:space="preserve"> </w:t>
      </w:r>
      <w:r w:rsidRPr="00E4685D">
        <w:rPr>
          <w:rStyle w:val="Gvdemetni7talikdeil"/>
          <w:sz w:val="24"/>
          <w:szCs w:val="26"/>
        </w:rPr>
        <w:t xml:space="preserve">Olayda, davacının 15.01.2012 tarihinden sonra davalı idare bünyesinde çalışmaya başladığından bahisle, 15.01.2012 tarihinden önce </w:t>
      </w:r>
      <w:r w:rsidRPr="00E4685D">
        <w:rPr>
          <w:sz w:val="24"/>
          <w:szCs w:val="26"/>
        </w:rPr>
        <w:t>aynı kurumda aynı Unvan, görev ve sorumluluk çerçevesinde çalışmaya başlayan diğer uzman yardımcılarıyla mali ve sosyal haklarının eşitlenmesine yönelik</w:t>
      </w:r>
      <w:r w:rsidRPr="00E4685D">
        <w:rPr>
          <w:rStyle w:val="Gvdemetni7talikdeil"/>
          <w:sz w:val="24"/>
          <w:szCs w:val="26"/>
        </w:rPr>
        <w:t xml:space="preserve"> başvurunun reddedildiği, davalı idare işleminin dayanağının yukarıya alman 375 sayılı KHK hükmü olduğu, söz konusu hükmün </w:t>
      </w:r>
      <w:r w:rsidRPr="00E4685D">
        <w:rPr>
          <w:rStyle w:val="Gvdemetni7Kaln"/>
          <w:b w:val="0"/>
          <w:sz w:val="24"/>
          <w:szCs w:val="26"/>
        </w:rPr>
        <w:t xml:space="preserve">aynı statü ve durumdaki çalışanlar arasında eşitliği zedeleyici, nitelik, eğitim, görev, sorumluluk, statüye giriş koşulları açısından hiçbir fark olmaksızın aynı ortamda çalışanlar arasında mali ve sosyal dengenin bozulması suretiyle çalışma barışını olumsuz etkileyici, </w:t>
      </w:r>
      <w:r w:rsidRPr="00E4685D">
        <w:rPr>
          <w:sz w:val="24"/>
          <w:szCs w:val="26"/>
        </w:rPr>
        <w:t>sırf belli bir tarihten sonra statüye dahil olunduğundan bahisle dar anlamda eşitlik ilkesine aykırı olan hüküm ile söz konusu tarihten sonra idare bünyesinde çalışmaya başlayan kamu görevlilerinin maddi ve manevi geliştirme hakkına ve devletin bu kapsamdaki sorumluluğuna aykırı nitelikte</w:t>
      </w:r>
      <w:r w:rsidRPr="00E4685D">
        <w:rPr>
          <w:rStyle w:val="Gvdemetni7talikdeil"/>
          <w:sz w:val="24"/>
          <w:szCs w:val="26"/>
        </w:rPr>
        <w:t xml:space="preserve"> olduğu kanaatine varılmıştır.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 xml:space="preserve">Öte yandan, söz konusu hükmün 666 Sayılı KHK ile düzenlendiği, Anayasa Mahkemesi tarafından 27.12.2012 tarih ve E.2011/139, K.2012/205 sayılı kararıyla iptal edildiği ve iptal kararının Resmi Gazete’de yayımlandığı 10.10.2013 tarihinden itibaren dokuz </w:t>
      </w:r>
      <w:r w:rsidRPr="00E4685D">
        <w:rPr>
          <w:sz w:val="24"/>
          <w:szCs w:val="26"/>
        </w:rPr>
        <w:lastRenderedPageBreak/>
        <w:t>ay sonra yürürlüğe gireceğinin, iptal kararını</w:t>
      </w:r>
      <w:bookmarkStart w:id="0" w:name="_GoBack"/>
      <w:bookmarkEnd w:id="0"/>
      <w:r w:rsidRPr="00E4685D">
        <w:rPr>
          <w:sz w:val="24"/>
          <w:szCs w:val="26"/>
        </w:rPr>
        <w:t xml:space="preserve">n yayımlanmasından önce Yasama organı tarafından 02.08.2013 tarihli Resmi Gazete’de yayımlanan 6495 sayılı Kanun ile aynen 375 sayılı KHK’ya eklendiği ve 15.01.2012 tarihinden itibaren hüküm ifade edecek şekilde düzenlendiği, bu bağlamda aleyhe olan kanunların geriye yürütülmesi ve kazanılmış haklara aykırı olması sebebiyle Anayasa’nın 2. maddesinde düzenlenen </w:t>
      </w:r>
      <w:r w:rsidRPr="00E4685D">
        <w:rPr>
          <w:rStyle w:val="GvdemetniKaln"/>
          <w:b w:val="0"/>
          <w:sz w:val="24"/>
          <w:szCs w:val="26"/>
        </w:rPr>
        <w:t xml:space="preserve">“hukuk devleti” </w:t>
      </w:r>
      <w:r w:rsidRPr="00E4685D">
        <w:rPr>
          <w:sz w:val="24"/>
          <w:szCs w:val="26"/>
        </w:rPr>
        <w:t>ilkesine aykırı olduğu kanaatine varılmıştır.</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IV- SONUÇ VE İSTEM:</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Yukarıda açıklanan nedenlerle,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kararı ile Anayasa Mahkemesine başvurması öngörüldüğünden ve bakılan davada uygulanacak kuralın;</w:t>
      </w:r>
    </w:p>
    <w:p w:rsidR="00E4685D" w:rsidRPr="00E4685D" w:rsidRDefault="00E4685D" w:rsidP="00E4685D">
      <w:pPr>
        <w:pStyle w:val="Gvdemetni0"/>
        <w:widowControl/>
        <w:shd w:val="clear" w:color="auto" w:fill="auto"/>
        <w:tabs>
          <w:tab w:val="left" w:pos="1134"/>
        </w:tabs>
        <w:spacing w:before="100" w:beforeAutospacing="1" w:after="100" w:afterAutospacing="1" w:line="240" w:lineRule="auto"/>
        <w:ind w:firstLine="709"/>
        <w:rPr>
          <w:sz w:val="24"/>
          <w:szCs w:val="26"/>
        </w:rPr>
      </w:pPr>
      <w:r w:rsidRPr="00E4685D">
        <w:rPr>
          <w:sz w:val="24"/>
          <w:szCs w:val="26"/>
        </w:rPr>
        <w:t xml:space="preserve"> </w:t>
      </w:r>
      <w:r w:rsidRPr="00E4685D">
        <w:rPr>
          <w:sz w:val="24"/>
          <w:szCs w:val="26"/>
        </w:rPr>
        <w:t>Anayasanın 2., 5., 10. ve 49. maddelerine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11/11/2016 tarihinde karar verildi.”</w:t>
      </w:r>
    </w:p>
    <w:p w:rsidR="00CE1FB9" w:rsidRPr="00E4685D" w:rsidRDefault="00CE1FB9" w:rsidP="00E4685D">
      <w:pPr>
        <w:widowControl/>
        <w:spacing w:before="100" w:beforeAutospacing="1" w:after="100" w:afterAutospacing="1"/>
        <w:ind w:firstLine="709"/>
        <w:jc w:val="both"/>
        <w:rPr>
          <w:rFonts w:ascii="Times New Roman" w:hAnsi="Times New Roman" w:cs="Times New Roman"/>
        </w:rPr>
      </w:pPr>
    </w:p>
    <w:sectPr w:rsidR="00CE1FB9" w:rsidRPr="00E4685D" w:rsidSect="00E4685D">
      <w:headerReference w:type="default" r:id="rId6"/>
      <w:footerReference w:type="even" r:id="rId7"/>
      <w:footerReference w:type="default" r:id="rId8"/>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D8B" w:rsidRDefault="00C96D8B" w:rsidP="00E4685D">
      <w:r>
        <w:separator/>
      </w:r>
    </w:p>
  </w:endnote>
  <w:endnote w:type="continuationSeparator" w:id="0">
    <w:p w:rsidR="00C96D8B" w:rsidRDefault="00C96D8B" w:rsidP="00E4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5D" w:rsidRDefault="00E4685D" w:rsidP="003230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685D" w:rsidRDefault="00E4685D" w:rsidP="00E468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5D" w:rsidRPr="00E4685D" w:rsidRDefault="00E4685D" w:rsidP="00323086">
    <w:pPr>
      <w:pStyle w:val="Altbilgi"/>
      <w:framePr w:wrap="around" w:vAnchor="text" w:hAnchor="margin" w:xAlign="right" w:y="1"/>
      <w:rPr>
        <w:rStyle w:val="SayfaNumaras"/>
        <w:rFonts w:ascii="Times New Roman" w:hAnsi="Times New Roman" w:cs="Times New Roman"/>
      </w:rPr>
    </w:pPr>
    <w:r w:rsidRPr="00E4685D">
      <w:rPr>
        <w:rStyle w:val="SayfaNumaras"/>
        <w:rFonts w:ascii="Times New Roman" w:hAnsi="Times New Roman" w:cs="Times New Roman"/>
      </w:rPr>
      <w:fldChar w:fldCharType="begin"/>
    </w:r>
    <w:r w:rsidRPr="00E4685D">
      <w:rPr>
        <w:rStyle w:val="SayfaNumaras"/>
        <w:rFonts w:ascii="Times New Roman" w:hAnsi="Times New Roman" w:cs="Times New Roman"/>
      </w:rPr>
      <w:instrText xml:space="preserve">PAGE  </w:instrText>
    </w:r>
    <w:r w:rsidRPr="00E4685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4685D">
      <w:rPr>
        <w:rStyle w:val="SayfaNumaras"/>
        <w:rFonts w:ascii="Times New Roman" w:hAnsi="Times New Roman" w:cs="Times New Roman"/>
      </w:rPr>
      <w:fldChar w:fldCharType="end"/>
    </w:r>
  </w:p>
  <w:p w:rsidR="00E4685D" w:rsidRPr="00E4685D" w:rsidRDefault="00E4685D" w:rsidP="00E4685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D8B" w:rsidRDefault="00C96D8B" w:rsidP="00E4685D">
      <w:r>
        <w:separator/>
      </w:r>
    </w:p>
  </w:footnote>
  <w:footnote w:type="continuationSeparator" w:id="0">
    <w:p w:rsidR="00C96D8B" w:rsidRDefault="00C96D8B" w:rsidP="00E4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85D" w:rsidRPr="00F76F4F" w:rsidRDefault="00E4685D" w:rsidP="00E4685D">
    <w:pPr>
      <w:widowControl/>
      <w:shd w:val="clear" w:color="auto" w:fill="FFFFFF"/>
      <w:jc w:val="both"/>
      <w:rPr>
        <w:rFonts w:ascii="Times New Roman" w:eastAsia="Times New Roman" w:hAnsi="Times New Roman" w:cs="Times New Roman"/>
        <w:b/>
        <w:bCs/>
        <w:szCs w:val="26"/>
        <w:shd w:val="clear" w:color="auto" w:fill="FFFFFF"/>
      </w:rPr>
    </w:pPr>
    <w:r w:rsidRPr="00F76F4F">
      <w:rPr>
        <w:rFonts w:ascii="Times New Roman" w:eastAsia="Times New Roman" w:hAnsi="Times New Roman" w:cs="Times New Roman"/>
        <w:b/>
        <w:bCs/>
        <w:szCs w:val="26"/>
        <w:shd w:val="clear" w:color="auto" w:fill="FFFFFF"/>
      </w:rPr>
      <w:t>Esas Sayısı       :  2016/202</w:t>
    </w:r>
  </w:p>
  <w:p w:rsidR="00E4685D" w:rsidRPr="00F76F4F" w:rsidRDefault="00E4685D" w:rsidP="00E4685D">
    <w:pPr>
      <w:widowControl/>
      <w:shd w:val="clear" w:color="auto" w:fill="FFFFFF"/>
      <w:jc w:val="both"/>
      <w:rPr>
        <w:rFonts w:ascii="Times New Roman" w:eastAsia="Times New Roman" w:hAnsi="Times New Roman" w:cs="Times New Roman"/>
        <w:b/>
        <w:bCs/>
        <w:szCs w:val="26"/>
        <w:shd w:val="clear" w:color="auto" w:fill="FFFFFF"/>
      </w:rPr>
    </w:pPr>
    <w:r w:rsidRPr="00F76F4F">
      <w:rPr>
        <w:rFonts w:ascii="Times New Roman" w:eastAsia="Times New Roman" w:hAnsi="Times New Roman" w:cs="Times New Roman"/>
        <w:b/>
        <w:bCs/>
        <w:szCs w:val="26"/>
        <w:shd w:val="clear" w:color="auto" w:fill="FFFFFF"/>
      </w:rPr>
      <w:t>Karar Sayısı    :  2016/193</w:t>
    </w:r>
  </w:p>
  <w:p w:rsidR="0036464F" w:rsidRPr="00E4685D" w:rsidRDefault="00C96D8B" w:rsidP="00E468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5D"/>
    <w:rsid w:val="00C96D8B"/>
    <w:rsid w:val="00CE1FB9"/>
    <w:rsid w:val="00E46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4F39B-2BEF-46ED-9FF9-B2366ED2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685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E4685D"/>
    <w:rPr>
      <w:rFonts w:ascii="Times New Roman" w:eastAsia="Times New Roman" w:hAnsi="Times New Roman" w:cs="Times New Roman"/>
      <w:b/>
      <w:bCs/>
      <w:shd w:val="clear" w:color="auto" w:fill="FFFFFF"/>
    </w:rPr>
  </w:style>
  <w:style w:type="character" w:customStyle="1" w:styleId="Gvdemetni">
    <w:name w:val="Gövde metni_"/>
    <w:basedOn w:val="VarsaylanParagrafYazTipi"/>
    <w:link w:val="Gvdemetni0"/>
    <w:rsid w:val="00E4685D"/>
    <w:rPr>
      <w:rFonts w:ascii="Times New Roman" w:eastAsia="Times New Roman" w:hAnsi="Times New Roman" w:cs="Times New Roman"/>
      <w:shd w:val="clear" w:color="auto" w:fill="FFFFFF"/>
    </w:rPr>
  </w:style>
  <w:style w:type="character" w:customStyle="1" w:styleId="Gvdemetni7">
    <w:name w:val="Gövde metni (7)_"/>
    <w:basedOn w:val="VarsaylanParagrafYazTipi"/>
    <w:link w:val="Gvdemetni70"/>
    <w:rsid w:val="00E4685D"/>
    <w:rPr>
      <w:rFonts w:ascii="Times New Roman" w:eastAsia="Times New Roman" w:hAnsi="Times New Roman" w:cs="Times New Roman"/>
      <w:i/>
      <w:iCs/>
      <w:shd w:val="clear" w:color="auto" w:fill="FFFFFF"/>
    </w:rPr>
  </w:style>
  <w:style w:type="character" w:customStyle="1" w:styleId="Gvdemetni7talikdeil">
    <w:name w:val="Gövde metni (7) + İtalik değil"/>
    <w:basedOn w:val="Gvdemetni7"/>
    <w:rsid w:val="00E4685D"/>
    <w:rPr>
      <w:rFonts w:ascii="Times New Roman" w:eastAsia="Times New Roman" w:hAnsi="Times New Roman" w:cs="Times New Roman"/>
      <w:i/>
      <w:iCs/>
      <w:color w:val="000000"/>
      <w:spacing w:val="0"/>
      <w:w w:val="100"/>
      <w:position w:val="0"/>
      <w:shd w:val="clear" w:color="auto" w:fill="FFFFFF"/>
      <w:lang w:val="tr-TR"/>
    </w:rPr>
  </w:style>
  <w:style w:type="character" w:customStyle="1" w:styleId="Gvdemetni2KalnDeil">
    <w:name w:val="Gövde metni (2) + Kalın Değil"/>
    <w:basedOn w:val="Gvdemetni2"/>
    <w:rsid w:val="00E4685D"/>
    <w:rPr>
      <w:rFonts w:ascii="Times New Roman" w:eastAsia="Times New Roman" w:hAnsi="Times New Roman" w:cs="Times New Roman"/>
      <w:b/>
      <w:bCs/>
      <w:color w:val="000000"/>
      <w:spacing w:val="0"/>
      <w:w w:val="100"/>
      <w:position w:val="0"/>
      <w:shd w:val="clear" w:color="auto" w:fill="FFFFFF"/>
      <w:lang w:val="tr-TR"/>
    </w:rPr>
  </w:style>
  <w:style w:type="character" w:customStyle="1" w:styleId="GvdemetniKaln">
    <w:name w:val="Gövde metni + Kalın"/>
    <w:basedOn w:val="Gvdemetni"/>
    <w:rsid w:val="00E4685D"/>
    <w:rPr>
      <w:rFonts w:ascii="Times New Roman" w:eastAsia="Times New Roman" w:hAnsi="Times New Roman" w:cs="Times New Roman"/>
      <w:b/>
      <w:bCs/>
      <w:color w:val="000000"/>
      <w:spacing w:val="0"/>
      <w:w w:val="100"/>
      <w:position w:val="0"/>
      <w:shd w:val="clear" w:color="auto" w:fill="FFFFFF"/>
      <w:lang w:val="tr-TR"/>
    </w:rPr>
  </w:style>
  <w:style w:type="character" w:customStyle="1" w:styleId="Gvdemetni7Kaln">
    <w:name w:val="Gövde metni (7) + Kalın"/>
    <w:basedOn w:val="Gvdemetni7"/>
    <w:rsid w:val="00E4685D"/>
    <w:rPr>
      <w:rFonts w:ascii="Times New Roman" w:eastAsia="Times New Roman" w:hAnsi="Times New Roman" w:cs="Times New Roman"/>
      <w:b/>
      <w:bCs/>
      <w:i/>
      <w:iCs/>
      <w:color w:val="000000"/>
      <w:spacing w:val="0"/>
      <w:w w:val="100"/>
      <w:position w:val="0"/>
      <w:shd w:val="clear" w:color="auto" w:fill="FFFFFF"/>
      <w:lang w:val="tr-TR"/>
    </w:rPr>
  </w:style>
  <w:style w:type="paragraph" w:customStyle="1" w:styleId="Gvdemetni20">
    <w:name w:val="Gövde metni (2)"/>
    <w:basedOn w:val="Normal"/>
    <w:link w:val="Gvdemetni2"/>
    <w:rsid w:val="00E4685D"/>
    <w:pPr>
      <w:shd w:val="clear" w:color="auto" w:fill="FFFFFF"/>
      <w:spacing w:line="0" w:lineRule="atLeast"/>
      <w:jc w:val="right"/>
    </w:pPr>
    <w:rPr>
      <w:rFonts w:ascii="Times New Roman" w:eastAsia="Times New Roman" w:hAnsi="Times New Roman" w:cs="Times New Roman"/>
      <w:b/>
      <w:bCs/>
      <w:color w:val="auto"/>
      <w:sz w:val="22"/>
      <w:szCs w:val="22"/>
      <w:lang w:eastAsia="en-US"/>
    </w:rPr>
  </w:style>
  <w:style w:type="paragraph" w:customStyle="1" w:styleId="Gvdemetni0">
    <w:name w:val="Gövde metni"/>
    <w:basedOn w:val="Normal"/>
    <w:link w:val="Gvdemetni"/>
    <w:rsid w:val="00E4685D"/>
    <w:pPr>
      <w:shd w:val="clear" w:color="auto" w:fill="FFFFFF"/>
      <w:spacing w:before="420" w:line="312" w:lineRule="exact"/>
      <w:jc w:val="both"/>
    </w:pPr>
    <w:rPr>
      <w:rFonts w:ascii="Times New Roman" w:eastAsia="Times New Roman" w:hAnsi="Times New Roman" w:cs="Times New Roman"/>
      <w:color w:val="auto"/>
      <w:sz w:val="22"/>
      <w:szCs w:val="22"/>
      <w:lang w:eastAsia="en-US"/>
    </w:rPr>
  </w:style>
  <w:style w:type="paragraph" w:customStyle="1" w:styleId="Gvdemetni70">
    <w:name w:val="Gövde metni (7)"/>
    <w:basedOn w:val="Normal"/>
    <w:link w:val="Gvdemetni7"/>
    <w:rsid w:val="00E4685D"/>
    <w:pPr>
      <w:shd w:val="clear" w:color="auto" w:fill="FFFFFF"/>
      <w:spacing w:before="120" w:line="307" w:lineRule="exact"/>
      <w:jc w:val="both"/>
    </w:pPr>
    <w:rPr>
      <w:rFonts w:ascii="Times New Roman" w:eastAsia="Times New Roman" w:hAnsi="Times New Roman" w:cs="Times New Roman"/>
      <w:i/>
      <w:iCs/>
      <w:color w:val="auto"/>
      <w:sz w:val="22"/>
      <w:szCs w:val="22"/>
      <w:lang w:eastAsia="en-US"/>
    </w:rPr>
  </w:style>
  <w:style w:type="paragraph" w:styleId="stbilgi">
    <w:name w:val="header"/>
    <w:basedOn w:val="Normal"/>
    <w:link w:val="stbilgiChar"/>
    <w:uiPriority w:val="99"/>
    <w:unhideWhenUsed/>
    <w:rsid w:val="00E4685D"/>
    <w:pPr>
      <w:tabs>
        <w:tab w:val="center" w:pos="4536"/>
        <w:tab w:val="right" w:pos="9072"/>
      </w:tabs>
    </w:pPr>
  </w:style>
  <w:style w:type="character" w:customStyle="1" w:styleId="stbilgiChar">
    <w:name w:val="Üstbilgi Char"/>
    <w:basedOn w:val="VarsaylanParagrafYazTipi"/>
    <w:link w:val="stbilgi"/>
    <w:uiPriority w:val="99"/>
    <w:rsid w:val="00E4685D"/>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E4685D"/>
    <w:pPr>
      <w:tabs>
        <w:tab w:val="center" w:pos="4536"/>
        <w:tab w:val="right" w:pos="9072"/>
      </w:tabs>
    </w:pPr>
  </w:style>
  <w:style w:type="character" w:customStyle="1" w:styleId="AltbilgiChar">
    <w:name w:val="Altbilgi Char"/>
    <w:basedOn w:val="VarsaylanParagrafYazTipi"/>
    <w:link w:val="Altbilgi"/>
    <w:uiPriority w:val="99"/>
    <w:rsid w:val="00E4685D"/>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E4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2019-03-14T12:36:00Z</dcterms:created>
  <dcterms:modified xsi:type="dcterms:W3CDTF">2019-03-14T12:38:00Z</dcterms:modified>
</cp:coreProperties>
</file>