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“Estonya/Tallin Büyükelçiliğinde konsolosluk ve ihtisas memuru statüsünde ikinci katip olarak görev yapan davacı … tarafından, hakkında düzenlenen 2014 yılı 1. Dönem Performans Değerlendirmesi ile bu işlemin dayanağı olan 14/05/2012 tarihli Bakan Olur'u ile yürürlüğe giren Dışişleri Bakanlığı Personeli Performans Değerlendirme Yönergesinin iptali ve yürütmesinin durdurulması istemiyle  Dışişleri Bakanlığına karşı açılan davada; Danıştay Beşinci ve Onaltıncı Dairesi Müşterek Heyetince verilen yürütmenin durdurulması isteminin reddine ilişkin 27/10/2015 günlü, E:2015/1674 sayılı karara, davacının itiraz etmesi üzerine oluşturulan dosya incelendi:</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657 sayılı Devlet Memurları Kanunun “Başarı, üstün başarı değerlendirmesi ve ödül” başlıklı 122. maddesinde;</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(Ek cümle: 22/5/2012-6318/44 md.) Türk Silahlı Kuvvetlerinde (Jandarma Genel Komutanlığı ve Sahil Güvenlik Komutanlığı hariç) görevli Devlet memurları için Millî Savunma Bakanı bu yetkisini devredebilir. Üç defa başarı belgesi alanlara üstün başarı belgesi verilir.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Üstün başarı belgesi verilenlere, merkezde bağlı veya ilgili bakan ve illerde valiler tarafından uygun görülmesi hâlinde en yüksek Devlet memuru aylığının (ek gösterge dâhil) % 200’üne kadar ödül verilebilir.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Bu maddeye göre bir malî yıl içinde ödüllendirileceklerin sayısı, kurumun yılbaşındaki dolu kadro mevcudunun binde onundan, Gümrük Müsteşarlığı, Millî Eğitim Bakanlığı ve Emniyet Genel Müdürlüğü kadroları için binde yirmisinden fazla olamaz. Yıl içinde ödüllendirilen personel sayısı kurumlarınca izleyen yılın Ocak ayı sonuna kadar Devlet Personel Başkanlığına bildirilir.</w:t>
      </w:r>
    </w:p>
    <w:p w:rsidR="00A734C9" w:rsidRDefault="00A734C9" w:rsidP="00A734C9">
      <w:pPr>
        <w:pStyle w:val="Gvdemetni6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sz w:val="24"/>
          <w:szCs w:val="26"/>
        </w:rPr>
      </w:pPr>
      <w:r>
        <w:rPr>
          <w:rFonts w:ascii="Times New Roman" w:hAnsi="Times New Roman" w:cs="Times New Roman"/>
          <w:b w:val="0"/>
          <w:sz w:val="24"/>
          <w:szCs w:val="26"/>
        </w:rPr>
        <w:t xml:space="preserve"> </w:t>
      </w:r>
      <w:r w:rsidRPr="00A734C9">
        <w:rPr>
          <w:rFonts w:ascii="Times New Roman" w:hAnsi="Times New Roman" w:cs="Times New Roman"/>
          <w:b w:val="0"/>
          <w:sz w:val="24"/>
          <w:szCs w:val="26"/>
        </w:rPr>
        <w:t xml:space="preserve">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 </w:t>
      </w:r>
      <w:r w:rsidRPr="00A734C9">
        <w:rPr>
          <w:rStyle w:val="Gvdemetni6KalnDeil"/>
          <w:rFonts w:ascii="Times New Roman" w:hAnsi="Times New Roman" w:cs="Times New Roman"/>
          <w:sz w:val="24"/>
          <w:szCs w:val="26"/>
        </w:rPr>
        <w:t>hükmüne yer verilmiştir.</w:t>
      </w:r>
    </w:p>
    <w:p w:rsidR="00A734C9" w:rsidRP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Anılan hükme istinaden, Dışişleri Bakanlığının merkez ve taşra teşkilatlarında 657 sayılı Devlet Memurları Kanununa tabi olarak çalışan Devlet memurlarının mesleki yeterlilik ve yetkinliklerinin nesnel, etkin ve mukayeseli bir şekilde değerlendirilmesi için performans değerlendirme sisteminin oluşturulması ve uygulanmasına ilişkin usul ve esasları düzenlemek üzere dava konusu Dışişleri Bakanlığı Personeli Performans Değerlendirme Yönergesi 14/05/2012 tarihli Bakan Olur'u ile yürürlüğe girmiş olup, Yönergenin 3. maddesinde dayanak olarak 657 sayılı Devlet Memurları Kanununun 122. maddesinin 4. fıkrasının gösterildiği anlaşıldığından, 657 sayılı Devlet Memurları Kanununun 122. maddesinin 4. fıkrasının uyuşmazlıkta uygulanacak kural haline geldiğinde kuşku bulunmamaktadır.</w:t>
      </w:r>
    </w:p>
    <w:p w:rsidR="00A734C9" w:rsidRP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A734C9">
        <w:rPr>
          <w:rFonts w:ascii="Times New Roman" w:hAnsi="Times New Roman" w:cs="Times New Roman"/>
          <w:sz w:val="24"/>
          <w:szCs w:val="26"/>
        </w:rPr>
        <w:t xml:space="preserve">Anayasanın 2. maddesi hukuk devleti ilkesini, 7. maddesi ise yasama yetkisinin Türk Milleti adına Türkiye Büyük Millet Meclisinde olduğunu ve bu yetkinin devredilemeyeceğini düzenlemektedir. Anayasanın 128. maddesinin ikinci fıkrasında da memurların ve diğer kamu görevlilerinin nitelikleri, atanmaları, görev ve yetkileri, hakları ve yükümlülükleri, aylık ve ödenekleri ve </w:t>
      </w:r>
      <w:r w:rsidRPr="00A734C9">
        <w:rPr>
          <w:rStyle w:val="Gvdemetni2Kaln"/>
          <w:rFonts w:ascii="Times New Roman" w:hAnsi="Times New Roman" w:cs="Times New Roman"/>
          <w:sz w:val="24"/>
          <w:szCs w:val="26"/>
        </w:rPr>
        <w:t xml:space="preserve">diğer özlük işlerinin </w:t>
      </w:r>
      <w:r w:rsidRPr="00A734C9">
        <w:rPr>
          <w:rFonts w:ascii="Times New Roman" w:hAnsi="Times New Roman" w:cs="Times New Roman"/>
          <w:sz w:val="24"/>
          <w:szCs w:val="26"/>
        </w:rPr>
        <w:t>Kanunla düzenleneceği kurala bağlanmaktadır.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Anayasa'nın 2. maddesinde, Türkiye Cumhuriyeti'nin “Başlangıçla belirtilen temel ilkelere dayanan bir Devlet olduğu vurgulanmış, 176. maddesi ile Anayasa metni içinde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geçilmesini gerektirir.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 xml:space="preserve">657 sayılı Devlet Memurları Kanununun 122. maddesinin 4. fıkrasında yer alan düzenlemeye bakıldığında ise, memurların başarı, verimlilik ve gayretlerini ölçmek üzere, değerlendirme ölçütleri belirleme bu konuda düzenleme yapma yetkisi bütünüyle yürütme organına bırakılmıştır. Yasama organı tarafından, temel ilkeleri koyulmadan, çerçevesi çizilmeden, sınırsız, belirsiz, geniş bir alanı düzenleme yetkisinin yürütme organına bırakılması, Anayasanın 128. maddesine aykırı olduğu gibi, yasama yetkisinin </w:t>
      </w:r>
      <w:r w:rsidRPr="00A734C9">
        <w:rPr>
          <w:rFonts w:ascii="Times New Roman" w:hAnsi="Times New Roman" w:cs="Times New Roman"/>
          <w:sz w:val="24"/>
          <w:szCs w:val="26"/>
        </w:rPr>
        <w:lastRenderedPageBreak/>
        <w:t>devredilemeyeceğine ilişkin Anayasanın 7. maddesine ve sonuçta Anayasanın 2. maddesindeki hukuk devleti ilkesine aykırı bulunmaktadır.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Sonuç olarak 657 sayılı Devlet Memurları Kanununun 122. maddesinin 4. fıkrasının, düzenleme yetkisinin bütünüyle yürütme organına bırakılmış olması nedeniyle Anayasanın 2., 7., 128. maddelerine aykırı olduğu sonucuna varılmıştır.</w:t>
      </w:r>
    </w:p>
    <w:p w:rsidR="00A734C9" w:rsidRDefault="00A734C9" w:rsidP="00A734C9">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734C9">
        <w:rPr>
          <w:rFonts w:ascii="Times New Roman" w:hAnsi="Times New Roman" w:cs="Times New Roman"/>
          <w:sz w:val="24"/>
          <w:szCs w:val="26"/>
        </w:rPr>
        <w:t>Açıklanan nedenlerle, bir davaya bakmakta olan mahkemenin, o davada uygulanacak bir yasanın Anayasa'ya aykırı olduğu</w:t>
      </w:r>
      <w:bookmarkStart w:id="0" w:name="_GoBack"/>
      <w:bookmarkEnd w:id="0"/>
      <w:r w:rsidRPr="00A734C9">
        <w:rPr>
          <w:rFonts w:ascii="Times New Roman" w:hAnsi="Times New Roman" w:cs="Times New Roman"/>
          <w:sz w:val="24"/>
          <w:szCs w:val="26"/>
        </w:rPr>
        <w:t xml:space="preserve"> kanısına götüren görüşünü açıklayan kararı ile Anayasa Mahkemesine başvurulması gerektiğini düzenleyen 6216 sayılı Anayasa Mahkemesinin Kuruluşu ve Yargılama Usulleri Hakkında Kanun'un 40. maddesinin birinci fıkrası gereğince, 657 sayılı Kanun'un 122. maddesinin 4. fıkrasının Anayasa'nın 2., 7., ve 128. maddesine aykırı olduğu kanısına ulaşılması nedeniyle Anayasa Mahkemesine başvurulmasına, bu kuralın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08/02/2016 gününde oyçokluğu ile karar verildi.”</w:t>
      </w:r>
    </w:p>
    <w:p w:rsidR="00CE1FB9" w:rsidRPr="00A734C9" w:rsidRDefault="00CE1FB9" w:rsidP="00A734C9">
      <w:pPr>
        <w:widowControl/>
        <w:spacing w:before="100" w:beforeAutospacing="1" w:after="100" w:afterAutospacing="1"/>
        <w:ind w:firstLine="709"/>
        <w:jc w:val="both"/>
        <w:rPr>
          <w:rFonts w:ascii="Times New Roman" w:hAnsi="Times New Roman" w:cs="Times New Roman"/>
        </w:rPr>
      </w:pPr>
    </w:p>
    <w:sectPr w:rsidR="00CE1FB9" w:rsidRPr="00A734C9" w:rsidSect="00A734C9">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B76" w:rsidRDefault="009F3B76" w:rsidP="00A734C9">
      <w:r>
        <w:separator/>
      </w:r>
    </w:p>
  </w:endnote>
  <w:endnote w:type="continuationSeparator" w:id="0">
    <w:p w:rsidR="009F3B76" w:rsidRDefault="009F3B76" w:rsidP="00A7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C9" w:rsidRDefault="00A734C9" w:rsidP="00CB1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34C9" w:rsidRDefault="00A734C9" w:rsidP="00A734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C9" w:rsidRPr="00A734C9" w:rsidRDefault="00A734C9" w:rsidP="00CB152D">
    <w:pPr>
      <w:pStyle w:val="Altbilgi"/>
      <w:framePr w:wrap="around" w:vAnchor="text" w:hAnchor="margin" w:xAlign="right" w:y="1"/>
      <w:rPr>
        <w:rStyle w:val="SayfaNumaras"/>
        <w:rFonts w:ascii="Times New Roman" w:hAnsi="Times New Roman" w:cs="Times New Roman"/>
      </w:rPr>
    </w:pPr>
    <w:r w:rsidRPr="00A734C9">
      <w:rPr>
        <w:rStyle w:val="SayfaNumaras"/>
        <w:rFonts w:ascii="Times New Roman" w:hAnsi="Times New Roman" w:cs="Times New Roman"/>
      </w:rPr>
      <w:fldChar w:fldCharType="begin"/>
    </w:r>
    <w:r w:rsidRPr="00A734C9">
      <w:rPr>
        <w:rStyle w:val="SayfaNumaras"/>
        <w:rFonts w:ascii="Times New Roman" w:hAnsi="Times New Roman" w:cs="Times New Roman"/>
      </w:rPr>
      <w:instrText xml:space="preserve">PAGE  </w:instrText>
    </w:r>
    <w:r w:rsidRPr="00A734C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734C9">
      <w:rPr>
        <w:rStyle w:val="SayfaNumaras"/>
        <w:rFonts w:ascii="Times New Roman" w:hAnsi="Times New Roman" w:cs="Times New Roman"/>
      </w:rPr>
      <w:fldChar w:fldCharType="end"/>
    </w:r>
  </w:p>
  <w:p w:rsidR="00A734C9" w:rsidRPr="00A734C9" w:rsidRDefault="00A734C9" w:rsidP="00A734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B76" w:rsidRDefault="009F3B76" w:rsidP="00A734C9">
      <w:r>
        <w:separator/>
      </w:r>
    </w:p>
  </w:footnote>
  <w:footnote w:type="continuationSeparator" w:id="0">
    <w:p w:rsidR="009F3B76" w:rsidRDefault="009F3B76" w:rsidP="00A7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4C9" w:rsidRPr="00245C1F" w:rsidRDefault="00A734C9" w:rsidP="00A734C9">
    <w:pPr>
      <w:widowControl/>
      <w:shd w:val="clear" w:color="auto" w:fill="FFFFFF"/>
      <w:jc w:val="both"/>
      <w:rPr>
        <w:rFonts w:ascii="Times New Roman" w:eastAsia="Times New Roman" w:hAnsi="Times New Roman" w:cs="Times New Roman"/>
        <w:b/>
      </w:rPr>
    </w:pPr>
    <w:r w:rsidRPr="00245C1F">
      <w:rPr>
        <w:rFonts w:ascii="Times New Roman" w:eastAsia="Times New Roman" w:hAnsi="Times New Roman" w:cs="Times New Roman"/>
        <w:b/>
      </w:rPr>
      <w:t>Esas Sayısı       :  2016/139</w:t>
    </w:r>
  </w:p>
  <w:p w:rsidR="00A734C9" w:rsidRPr="00245C1F" w:rsidRDefault="00A734C9" w:rsidP="00A734C9">
    <w:pPr>
      <w:widowControl/>
      <w:shd w:val="clear" w:color="auto" w:fill="FFFFFF"/>
      <w:jc w:val="both"/>
      <w:rPr>
        <w:rFonts w:ascii="Times New Roman" w:eastAsia="Times New Roman" w:hAnsi="Times New Roman" w:cs="Times New Roman"/>
        <w:b/>
      </w:rPr>
    </w:pPr>
    <w:r w:rsidRPr="00245C1F">
      <w:rPr>
        <w:rFonts w:ascii="Times New Roman" w:eastAsia="Times New Roman" w:hAnsi="Times New Roman" w:cs="Times New Roman"/>
        <w:b/>
      </w:rPr>
      <w:t>Karar Sayısı    :  2016/188</w:t>
    </w:r>
  </w:p>
  <w:p w:rsidR="00B97900" w:rsidRPr="00A734C9" w:rsidRDefault="009F3B76" w:rsidP="00A734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C9"/>
    <w:rsid w:val="009F3B76"/>
    <w:rsid w:val="00A734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322F9-156F-4492-8A39-B775DA0F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34C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734C9"/>
    <w:rPr>
      <w:rFonts w:ascii="Arial" w:eastAsia="Arial" w:hAnsi="Arial" w:cs="Arial"/>
      <w:sz w:val="19"/>
      <w:szCs w:val="19"/>
      <w:shd w:val="clear" w:color="auto" w:fill="FFFFFF"/>
    </w:rPr>
  </w:style>
  <w:style w:type="character" w:customStyle="1" w:styleId="Gvdemetni6">
    <w:name w:val="Gövde metni (6)_"/>
    <w:basedOn w:val="VarsaylanParagrafYazTipi"/>
    <w:link w:val="Gvdemetni60"/>
    <w:rsid w:val="00A734C9"/>
    <w:rPr>
      <w:rFonts w:ascii="Arial" w:eastAsia="Arial" w:hAnsi="Arial" w:cs="Arial"/>
      <w:b/>
      <w:bCs/>
      <w:sz w:val="19"/>
      <w:szCs w:val="19"/>
      <w:shd w:val="clear" w:color="auto" w:fill="FFFFFF"/>
    </w:rPr>
  </w:style>
  <w:style w:type="character" w:customStyle="1" w:styleId="Gvdemetni6KalnDeil">
    <w:name w:val="Gövde metni (6) + Kalın Değil"/>
    <w:basedOn w:val="Gvdemetni6"/>
    <w:rsid w:val="00A734C9"/>
    <w:rPr>
      <w:rFonts w:ascii="Arial" w:eastAsia="Arial" w:hAnsi="Arial" w:cs="Arial"/>
      <w:b/>
      <w:bCs/>
      <w:color w:val="000000"/>
      <w:spacing w:val="0"/>
      <w:w w:val="100"/>
      <w:position w:val="0"/>
      <w:sz w:val="19"/>
      <w:szCs w:val="19"/>
      <w:shd w:val="clear" w:color="auto" w:fill="FFFFFF"/>
      <w:lang w:val="tr-TR" w:eastAsia="tr-TR" w:bidi="tr-TR"/>
    </w:rPr>
  </w:style>
  <w:style w:type="character" w:customStyle="1" w:styleId="Gvdemetni2Kaln">
    <w:name w:val="Gövde metni (2) + Kalın"/>
    <w:basedOn w:val="Gvdemetni2"/>
    <w:rsid w:val="00A734C9"/>
    <w:rPr>
      <w:rFonts w:ascii="Arial" w:eastAsia="Arial" w:hAnsi="Arial" w:cs="Arial"/>
      <w:b/>
      <w:bCs/>
      <w:color w:val="000000"/>
      <w:spacing w:val="0"/>
      <w:w w:val="100"/>
      <w:position w:val="0"/>
      <w:sz w:val="19"/>
      <w:szCs w:val="19"/>
      <w:shd w:val="clear" w:color="auto" w:fill="FFFFFF"/>
      <w:lang w:val="tr-TR" w:eastAsia="tr-TR" w:bidi="tr-TR"/>
    </w:rPr>
  </w:style>
  <w:style w:type="paragraph" w:customStyle="1" w:styleId="Gvdemetni20">
    <w:name w:val="Gövde metni (2)"/>
    <w:basedOn w:val="Normal"/>
    <w:link w:val="Gvdemetni2"/>
    <w:rsid w:val="00A734C9"/>
    <w:pPr>
      <w:shd w:val="clear" w:color="auto" w:fill="FFFFFF"/>
      <w:spacing w:line="230" w:lineRule="exact"/>
      <w:jc w:val="both"/>
    </w:pPr>
    <w:rPr>
      <w:rFonts w:ascii="Arial" w:eastAsia="Arial" w:hAnsi="Arial" w:cs="Arial"/>
      <w:color w:val="auto"/>
      <w:sz w:val="19"/>
      <w:szCs w:val="19"/>
      <w:lang w:eastAsia="en-US" w:bidi="ar-SA"/>
    </w:rPr>
  </w:style>
  <w:style w:type="paragraph" w:customStyle="1" w:styleId="Gvdemetni60">
    <w:name w:val="Gövde metni (6)"/>
    <w:basedOn w:val="Normal"/>
    <w:link w:val="Gvdemetni6"/>
    <w:rsid w:val="00A734C9"/>
    <w:pPr>
      <w:shd w:val="clear" w:color="auto" w:fill="FFFFFF"/>
      <w:spacing w:line="302" w:lineRule="exact"/>
      <w:jc w:val="both"/>
    </w:pPr>
    <w:rPr>
      <w:rFonts w:ascii="Arial" w:eastAsia="Arial" w:hAnsi="Arial" w:cs="Arial"/>
      <w:b/>
      <w:bCs/>
      <w:color w:val="auto"/>
      <w:sz w:val="19"/>
      <w:szCs w:val="19"/>
      <w:lang w:eastAsia="en-US" w:bidi="ar-SA"/>
    </w:rPr>
  </w:style>
  <w:style w:type="paragraph" w:styleId="stbilgi">
    <w:name w:val="header"/>
    <w:basedOn w:val="Normal"/>
    <w:link w:val="stbilgiChar"/>
    <w:uiPriority w:val="99"/>
    <w:unhideWhenUsed/>
    <w:rsid w:val="00A734C9"/>
    <w:pPr>
      <w:tabs>
        <w:tab w:val="center" w:pos="4536"/>
        <w:tab w:val="right" w:pos="9072"/>
      </w:tabs>
    </w:pPr>
  </w:style>
  <w:style w:type="character" w:customStyle="1" w:styleId="stbilgiChar">
    <w:name w:val="Üstbilgi Char"/>
    <w:basedOn w:val="VarsaylanParagrafYazTipi"/>
    <w:link w:val="stbilgi"/>
    <w:uiPriority w:val="99"/>
    <w:rsid w:val="00A734C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A734C9"/>
    <w:pPr>
      <w:tabs>
        <w:tab w:val="center" w:pos="4536"/>
        <w:tab w:val="right" w:pos="9072"/>
      </w:tabs>
    </w:pPr>
  </w:style>
  <w:style w:type="character" w:customStyle="1" w:styleId="AltbilgiChar">
    <w:name w:val="Altbilgi Char"/>
    <w:basedOn w:val="VarsaylanParagrafYazTipi"/>
    <w:link w:val="Altbilgi"/>
    <w:uiPriority w:val="99"/>
    <w:rsid w:val="00A734C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A73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2019-03-14T11:16:00Z</dcterms:created>
  <dcterms:modified xsi:type="dcterms:W3CDTF">2019-03-14T11:17:00Z</dcterms:modified>
</cp:coreProperties>
</file>