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bookmarkStart w:id="0" w:name="_GoBack"/>
      <w:bookmarkEnd w:id="0"/>
      <w:r w:rsidRPr="00295DF5">
        <w:rPr>
          <w:rFonts w:ascii="Times New Roman" w:hAnsi="Times New Roman" w:cs="Times New Roman"/>
          <w:i/>
          <w:sz w:val="24"/>
          <w:szCs w:val="26"/>
        </w:rPr>
        <w:t>“</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 xml:space="preserve">A. Mahkememizin Başvuru Yetkisinin Olup Olmadığı </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3. Anayasa’nın 152. ve 6216 sayılı Anayasa Mahkemesinin Kuruluşu ve Yargılama Usulleri Hakkında Kanun’un 40. maddelerine göre, mahkemeler, bakmakta oldukları davalarda uygulayacakları kanun ya da kanun hükmünde kararname kurallarını Anayasa’ya aykırı görürler veya taraflardan birinin ileri sürdüğü aykırılık iddiasının ciddi olduğu kanısına varırlarsa, o hükmün iptali için Anayasa Mahkemesine başvurmaya yetkilidirler. 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4. Mahkememizde görülen davada, sanığın, eylemine uyan TCK’nın 299. maddesi uyarınca cezalandırılması istendiğinden, iptali istenen hükmün, Mahkememizde görülen davada doğrudan uygulanacak olan hüküm olduğu, Anayasa Mahkemesinin vereceği kararın, dava sonucuna etkisinin olduğu, bu nedenle Mahkememizin söz konusu hükme yönelik olarak itiraz yoluyla iptal başvurusunda bulunma yetkisine haiz olduğu kanaatine varılmıştır.</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 xml:space="preserve">B. Anayasa’nın 2. Maddesinde Yer Alan Hukuk Devleti İlkesine Aykırılık </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5. Anayasa Mahkemesinin pek çok kararında işaret ettiği gibi; “Anayasa’nın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6. Anayasa Mahkemesinin 2015/43 Esas ve 2015/101 Karar sayılı hükmünde de açıklandığı üzere; “Ceza ve ceza yerine geçen güvenlik tedbirlerine ilişkin kurallar, ceza hukukunun temel ilkeleri ile Anayasa’nın konuya ilişkin kurallarına aykırı olmamak kaydıyla, ülkenin sosyal, kültürel yapısı, ahlaki değerleri ve ekonomik hayatın gereksinimleri göz önüne alınarak saptanacak ceza politikasına göre belirlenir. Kanun koyucu, cezalandırma yetkisini kullanırken toplumda hangi eylemlerin suç sayılacağı, bunun hangi tür ve ölçüdeki ceza yaptırımı ile karşılanacağı, nelerin ağırlaştırıcı veya hafifletici sebep olarak kabul edilebileceği konularında takdir yetkisine sahip olmakla birlikte, bu yetkisini kullanırken suç ve ceza arasındaki adil dengenin korunmasını da dikkate almak zorundadır. Ancak, suçun sadece failin eylemlerini esas alarak ve bu eylemler için öngörülen ceza miktarlarını kıyaslayarak suç ve ceza arasında adil denge bulunup bulunmadığı konusunda bir karar vermek sorunu tek yönlü ya da eksik olarak ele almak anlamına gelir. Suç ve ceza arasında adalete uygun bir oranın bulunup bulunmadığının saptanmasında herhangi bir suç için konulmuş ceza ile yapılacak bir kıyaslamanın değil, ceza siyaseti yanında o suçun toplumda yarattığı etkinin de dikkate alınması gerekir. Cezanın belirlenmesinde suçtan zarar görenin kişiliği ve ona verilen zararın azlığı veya çokluğu da etkilidir.”</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 xml:space="preserve">7. İzlenen suç ve ceza siyasetinin gereği olarak, hangi davranış normuna aykırılığın suç olarak belirleneceği, suç olarak belirlenen davranış normu için cezanın alt ve üst sınırlarını </w:t>
      </w:r>
      <w:r w:rsidRPr="00295DF5">
        <w:rPr>
          <w:rFonts w:ascii="Times New Roman" w:hAnsi="Times New Roman" w:cs="Times New Roman"/>
          <w:i/>
          <w:sz w:val="24"/>
          <w:szCs w:val="26"/>
        </w:rPr>
        <w:lastRenderedPageBreak/>
        <w:t>belirleme yetkisi kanun koyucuya yani yasama yetkisini kullanan Türkiye Büyük Millet Meclisine aittir.</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8. Hukuk Devleti ilkesinin gereği olarak; konulan ve uygulanan yasaların, kamu yararına dayanması, herkes için konulması, adalet ve hakkaniyet ölçülerine uygun olması gerekir. Suç ve cezayı belirleme yetkisine haiz olan kanun koyucu, bu yönde düzenlemeler yaparken, hukuk devleti ilkesinin bir gereği olan ölçülülük ilkesiyle bağlıdır. Bu ilke ise “elverişlilik”, “gereklilik” ve “orantılılık” olmak üzere üç alt ilkeden oluşmaktadır. “Elverişlilik”, başvurulan önlemin ulaşılmak istenen amaç için elverişli olmasını, “gereklilik” başvurulan önlemin ulaşılmak istenen amaç bakımından gerekli olmasını, “orantılılık” ise başvurulan önlem ve ulaşılmak istenen amaç arasında olması gereken ölçüyü ifade etmektedir. Bir kurala uyulmaması nedeniyle kanun koyucu tarafından öngörülen yaptırım ile ulaşılmak istenen amaç arasında da “ölçülülük ilkesi” gereğince makul bir dengenin bulunması zorunludur.</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 xml:space="preserve">9. Kanun koyucu, bir eylemi suç olarak belirlerken ve suç olarak belirlediği eylem için yaptırım tespit ederken, sahip olduğu takdir hakkını; evrensel normlara, hukukun temel ilkelerine, Anayasanın ortaya koyduğu genel ilkelere uygun olarak kullanmalıdır. Kısaca söylemek gerekir ise, hukuk devletinin olduğu yerde “adaletli bir hukuk düzeni” kurulmuş olmalıdır. Aksi yaklaşım hukuk devlet ilkesinin fiilen ortadan kaldırılması anlamına gelir. </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10. Bu genel açıklamalardan sonra, başvuru konusu hüküm ile hukuk devleti ilkesi arasındaki ilişkiyi irdelemek gereklidir.</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Kişilere karşı hakaret suçunu düzenleyen TCK’nın 125/1 maddesi uyarınca, hakaret suçunu işleyen faile, üç aydan iki yıla kadar hapis cezası veya aynı sürelerde adli para cezası verilmekte, suçun alenen işlenmesi halinde belirlenen ceza altıda bir oranında arttırılmaktadır.</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 xml:space="preserve">Aynı Kanunun 125/3-a maddesi uyarınca; hakaret suçunun, kamu görevlisine karşı, görevinden dolayı işlenmesi halinde, faile verilecek ceza, bir yıldan iki yıla kadar hapis cezası veya aynı sürede adli para cezası olup, suçun alenen işlenmesi halinde, belirlenen ceza yine altıda bir oranında arttırılmaktadır. </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 xml:space="preserve">Oysa TCK’nın “Devletin Egemenlik Alametlerine ve Organlarının Saygınlığına Karşı Suçlar” bölümünde, özel bir hakaret suçu olarak yer alan Cumhurbaşkanına hakaret suçunu düzenleyen 299. maddesinde, cumhurbaşkanına hakaret suçunu işleyen failin cezası bir yıldan dört yıla kadar hapis cezası olarak belirlenmiş, adli para cezası seçeneğine yer verilmemiş, suçun alenen işlenmesi halinde, belirlenen cezanın altıda bir oranında arttırılması öngörülmüştür. Aynı maddenin üçüncü fıkrası uyarınca, bu suça ilişkin kovuşturma yapılması Adalet Bakanının iznine bağlanmıştır. </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 xml:space="preserve">Görüldüğü gibi; hakaret suçunun cumhurbaşkanına karşı işlenmesi halinde, suçun, cumhurbaşkanının görevi nedeniyle işlenmesi gerekmediği gibi, faile verilecek ceza bir başka kamu görevlisine (örneğin başbakana) hakaret eden kişiye göre iki kat daha ağırdır. Cumhurbaşkanına yönelik suç bakımından bu denli farklı bir düzenleme getirilmesi, yukarıda açıklanan hukuk devleti ilkesi ile bu ilkenin ceza hukukuna, suç ve cezaların belirlenmesine ilişkin yansımalarına aykırılık teşkil ettiği düşünülmektedir. </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 xml:space="preserve">11. TCK’nın 299. maddesinde, hakaret suçuna ilişkin genel bir belirleme olmadığı gibi, hakaret suçlarını genel olarak düzenleyen TCK’nın 125 ve devamı maddelerine atıf da yoktur. </w:t>
      </w:r>
      <w:r w:rsidRPr="00295DF5">
        <w:rPr>
          <w:rFonts w:ascii="Times New Roman" w:hAnsi="Times New Roman" w:cs="Times New Roman"/>
          <w:i/>
          <w:sz w:val="24"/>
          <w:szCs w:val="26"/>
        </w:rPr>
        <w:lastRenderedPageBreak/>
        <w:t xml:space="preserve">Bu nedenle Cumhurbaşkanına hakaret suçlarında, hakaret suçuna ilişkin genel ilkelerin, gıyapta hakaret suçunun oluşumu için gerekli olan “ihtilat unsurunun” bu suç bakımından da gerekli olup olmadığı, TCK’nın 128. maddesinde yer alan “iddia ve savunma dokunulmazlığı” hükümleri ile aynı Kanunun 129. maddesinde yer alan hükümlerin uygulanıp uygulanmayacağı tartışmalıdır. </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 xml:space="preserve">12. Hukuk devleti ilkesinin ceza hukukuna yansımalarından birisi de “suç ve cezanın belirli olması” ilkesidir. Hangi eylemin suç olduğu, cezasının ne olduğu, yasada açık şekilde ortaya konulmuş olmalıdır. </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 xml:space="preserve">13. TCK’nın 299. maddesinde düzenlenen suçun, genel hakaret ve kamu görevlisine hakaret suçlarında yer alan ve yukarıda açıklanan ayrıksı durumları içerip içermediği yasada açıkça düzenlenmemiş, bu yönde bir yollama yapılmamış olması da hukuk devletine aykırılık teşkil etmektedir. </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14. Tüm bu nedenlerle; itiraz konusu yapılan TCK’nın 299. maddesinin, Anayasa’nın 2. maddesinde düzenlenen hukuk devleti ilkesine aykırı olduğu düşünülmektedir.</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C. Anayasa’nın 10. Maddesine Aykırılık</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15. Anayasa’nın “Kanun önünde eşitlik” kenar başlığını taşıyan 10. maddesi uyarınca; herkes kanun önünde eşittir. Hiçbir kimseye imtiyaz tanınamaz. Bu maddede belirtilen “kanun önünde eşitlik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ihlâli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 xml:space="preserve">16. TCK’nın 125/3-a maddesi uyarınca; kamu görevlisine hakaret etmek suç teşkil etmektedir. Bu hüküm uyarınca, atanmış veya seçilmiş, tüm kamu görevlileri suçun mağduru olabilecek durumdadır. Nitekim, başbakanlar, Bakanlar Kurulu üyeleri, millet vekilleri, kamu idarelerinde ve yargı organlarında görevli kişiler hakaret suçunun mağduru olduklarında ve suç, bu kişilerin yerine getirdikleri görev nedeniyle işlendiğinde, faile verilecek ceza TCK’nın 125/3-a maddesinde yer alan ceza olacaktır. </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17. Cumhurbaşkanının; başbakandan, bakanlar kurulu üyelerinden, milletvekillerinden, idari merciler ve yargı organlarında görev yapan kamu görevlilerinden farklı şekilde değerlendirilmesinin ve ayrı bir suç normunun korumasına tabi tutulmasının Anayasa’nın eşitlik ilkesine uygun olup olmadığının tartışılması gereklidir.</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18. Avrupa İnsan Hakları Mahkemesi, ifade özgürlüğü ve hakaret iddialarına ilişkin olarak gördüğü davalarda, kamu görevlileri ile devlet yöneticilerine yönelik hakaret fiillerinin, diğer vatandaşlara yönelik hakaret fiillerine göre ayrı bir değerlendirmeye tabi tutulup tutulamayacağını ele almıştır.</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lastRenderedPageBreak/>
        <w:t xml:space="preserve">19. AİHM. Colombani/Fransa davasında; Fas Kralı’na hakaret ettiği için cezalandırılan başvurucunun davasını incelemiştir. Mahkeme, yabancı devlet başkanlarına yönelik hakaret fiilleri bakımından, ayrı bir düzenleme yapılmasını ve bu fiiller bakımından daha ağır ceza belirlenmesini, Sözleşmeye aykırı bulmuştur. AİHM. söz konusu kararında; yabanca ülke devlet başkanlarına yönelik suç bakımından kabul edilen ayrıcalıklı hükmün, devletin başka devletlerle dostça ilişkiler sürdürme konusundaki çıkarı nedeniyle zaruri ve gerekli olduğuna ilişkin savunmayı yerinde bulmamış, yabancı devlet başkanı hakarete uğradığını iddia ediyorsa, herkes için olağan başvuru yollarını kullanabileceğini vurgulamıştır. AİHM’nin verdiği bu karar sonrasında, davalı durumundaki Fransa, karara konu olayda uygulanan yasa hükmünü yürürlükten kaldırmıştır. </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 xml:space="preserve">20. AİHM. Artun ve Güvener/Türkiye davasında verdiği kararda; o tarihte yürürlükte olan 765 sayılı TCK’nın 158. maddesine göre yargılanan ve ceza alan başvurucunun başvurusunu haklı bulmuştur. Mahkeme, söz konusu kararında, başvuruda bulunanın beyanlarının hakaret oluşturup oluşturmayacağına ilişkin değerlendirmelerin yanı sıra, verilen hapis cezasını Sözleşme’nin 10. maddesine aykırı bulmuş, Cumhurbaşkanının konumu gereği ayrıcalıklı bir korumaya tabi tutulmasını yerinde görmemiş, kişilerin sahip olduğu ifade özgürlüğü bakımından devlet başkanlarının özel ve ayrıcalıklı statüde olamayacağını benimsemiştir. </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 xml:space="preserve">21. AİHM. Pakdemirli/Türkiye davasında da konuyu tartışmıştır. Kendisi de bir siyasetçi olan başvuruda bulunanın, sarf ettiği sözler nedeniyle T.C. Cumhurbaşkanı olan Süleyman Demirel’e tazminat ödemesine ilişkin dava  hakkındaki başvuruyu inceleyen AİHM., yerel mahkemede görülen tazminat davasında, davacının Cumhurbaşkanı olması nedeniyle daha fazla tazminata hükmedilmiş olmasını Sözleşmeye aykırılık olarak görmüştür. Söz konusu kararda; bir kişinin, hakaret davasında salt devlet başkanı olduğu için diğer vatandaşlardan daha fazla koruma göremeyeceği vurgulanmıştır. </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 xml:space="preserve">22. AİHM’nin konuyu tartıştığı bir başka kararı ise  Otegi Mondragon/İspanya kararıdır. Söz konusu kararda, cumhuriyetçi rejimlerde devlet başkanlarının statülerinin aşırı korunmasının Sözleşmenin ruhuna aykırı bulunmuştur. Devletin tarafsızlığını temsil eden İspanya Kralı’nın diğer insanlardan ayrıcalıklı bir hakaret hükmüyle korunmasının meşru olup olmadığını tartışan AİHM, Kral’ın bile ayrıcalıklı bir korumadan yararlanamayacağına karar vermiştir. Kral’ın politik tartışmalarda tarafsız bir hakem ve devlet simgesi konumunda olmasının, onun, resmi görevlerinin ifasıyla ilgili veya devletin temsilcisi olarak, bu devletin, monarşi rejimi dâhil, anayasal yapısına meşru yollarla itiraz eden kişiler başta gelmek üzere, başkaları tarafından eleştirilemeyeceği anlamına gelmeyeceğini özellikle vurgulamıştır. </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 xml:space="preserve">23. AİHM’nin içtihatlarından da anlaşıldığı üzere; özellikle cumhuriyetçi rejimlerde ve Avrupa İnsan Hakları Sözleşmesine taraf olan monarşilerde, hakaret suçları bakımından kamu görevlilerinin korunması hususunda bir ayrım yapılması benimsenmemektedir. Cumhurbaşkanlarının, devlet başkanlarının, monarşilerde kralın, kendisine karşı yapılan hakaret suçları bakımından, diğer kamu görevlilerine göre daha ayrıcalıklı durumda olmaları ve bu kişilere karşı işlenen suçlar bakımından daha ağır ceza yaptırımının benimsenmesi Sözleşmenin benimsediği eşitlik ilkesine ve Sözleşmenin ruhuna aykırı görülmektedir. </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 xml:space="preserve">24. Bu içtihatların yorumundan çıkan özet; demokratik, eşitlikçi, insan haklarına saygılı ve bunları koruyup geliştirmekle yükümlendirilmiş bir hukuk devletinde, egemenliğin kayıtsız şartsız millete ait olduğu hukuk düzeninde, hiçbir makama özel bir suç tipi oluşturulmamasının gerekli olduğudur. </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lastRenderedPageBreak/>
        <w:t xml:space="preserve">25. AİHS ve Sözleşme hükümlerini yorumlayan AİHM’nin genel uygulaması, siyasi kişilerin, kendilerine yönelik eleştirilere tahammül sınırının daha yüksek olması gerektiğidir. Oysa TCK’nın 299. maddesinde düzenlenen suç, Cumhurbaşkanına yönelik hakaret fiillerini, diğer kamu görevlilerine göre daha ağır şekilde cezalandırmaktadır. </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 xml:space="preserve">26. TCK’nın 299. maddesinde düzenlenen suçun Anayasa’ya aykırı görülmesi ve iptali halinde, Cumhurbaşkanına yönelik hakaret fiillerinin yaptırımsız kalması gibi bir durum söz konusu olmayacaktır. Zira söz konusu hüküm iptal edildiğinde veya yürürlükten kaldırıldığında, cumhurbaşkanlarına yönelik hakaret fiilleri TCK’nın 125/3-a maddesinde düzenlenen kamu görevlilerine hakaret suçu kapsamında ceza yaptırımına tabi tutulacaktır. Böyle bir düzenleme veya iptal, cumhurbaşkanlarının, diğer kamu görevlilerine (örneğin başbakana) göre daha ayrıcalıklı ve özel koruma altında olmaması sonucunu doğuracaktır. </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 xml:space="preserve">27. Tüm bu nedenlerle; TCK’nın 299. maddesinin, Anayasanın 10. maddesine aykırı olduğu düşünülmektedir. </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 xml:space="preserve">D. Anayasa’nın 39. Maddesine Aykırılık </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 xml:space="preserve">28. Anayasa’nın 39. maddesi uyarınca; “kamu görev ve hizmetlerinde bulunanlara karşı, bu görev ve hizmetlerin yerine getirilmesiyle ilgili olarak yapılan isnatlardan dolayı açılan hakaret davalarında, sanık, isnadın doğruluğunu ispat hakkına sahiptir”. Bu hükmün, TCK bakımından karşılığı, 129. maddede yer almaktadır. </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 xml:space="preserve">29. TCK’nın 299. maddesinde yer alan suç bakımından, Anayasa’nın 39. ve TCK’nın 129. maddesinin uygulanıp uygulanmayacağı yolunda bir belirleme bulunmamaktadır. Cumhurbaşkanına yönelik hakaret suçu bakımından, Anayasa’da istisnasız olarak kabul edilen “ispat hakkının” düzenlenmemiş olması nedeniyle TCK’nın 299. maddesinde düzenlenen suçun, Anayasa’nın 39. maddesine de aykırı olduğu kanaati hasıl olmuştur. </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pPr>
      <w:r w:rsidRPr="00295DF5">
        <w:rPr>
          <w:rFonts w:ascii="Times New Roman" w:hAnsi="Times New Roman" w:cs="Times New Roman"/>
          <w:i/>
          <w:sz w:val="24"/>
          <w:szCs w:val="26"/>
        </w:rPr>
        <w:t>SONUÇ VE İSTEM : Yukarıda açıklanan gerekçe ve nedenlerle;</w:t>
      </w:r>
    </w:p>
    <w:p w:rsidR="00295DF5" w:rsidRPr="00295DF5" w:rsidRDefault="00295DF5" w:rsidP="00295DF5">
      <w:pPr>
        <w:spacing w:before="100" w:beforeAutospacing="1" w:after="100" w:afterAutospacing="1" w:line="240" w:lineRule="auto"/>
        <w:ind w:firstLine="709"/>
        <w:jc w:val="both"/>
        <w:rPr>
          <w:rFonts w:ascii="Times New Roman" w:hAnsi="Times New Roman" w:cs="Times New Roman"/>
          <w:i/>
          <w:sz w:val="24"/>
          <w:szCs w:val="26"/>
        </w:rPr>
        <w:sectPr w:rsidR="00295DF5" w:rsidRPr="00295DF5" w:rsidSect="00295DF5">
          <w:headerReference w:type="default" r:id="rId6"/>
          <w:footerReference w:type="even" r:id="rId7"/>
          <w:footerReference w:type="default" r:id="rId8"/>
          <w:pgSz w:w="11906" w:h="16838"/>
          <w:pgMar w:top="1417" w:right="1417" w:bottom="1417" w:left="1417" w:header="709" w:footer="709" w:gutter="0"/>
          <w:cols w:space="708"/>
          <w:docGrid w:linePitch="360"/>
        </w:sectPr>
      </w:pPr>
      <w:r w:rsidRPr="00295DF5">
        <w:rPr>
          <w:rFonts w:ascii="Times New Roman" w:hAnsi="Times New Roman" w:cs="Times New Roman"/>
          <w:i/>
          <w:sz w:val="24"/>
          <w:szCs w:val="26"/>
        </w:rPr>
        <w:t>5237 sayılı Türk Ceza Kanununun 299. maddesinin, 2709 sayılı Türkiye Cumhuriyeti Anayasasının 2., 10. ve 39. maddelerine aykırı olduğu kanaatine varıldığından, söz konusu hükmün iptaline karar verilmesi hususu takdirlerinize arz olunur.”</w:t>
      </w:r>
    </w:p>
    <w:p w:rsidR="00295DF5" w:rsidRPr="00295DF5" w:rsidRDefault="00295DF5" w:rsidP="00295DF5">
      <w:pPr>
        <w:pStyle w:val="Balk70"/>
        <w:widowControl/>
        <w:shd w:val="clear" w:color="auto" w:fill="auto"/>
        <w:tabs>
          <w:tab w:val="left" w:pos="1134"/>
        </w:tabs>
        <w:spacing w:before="100" w:beforeAutospacing="1" w:after="100" w:afterAutospacing="1" w:line="240" w:lineRule="auto"/>
        <w:ind w:firstLine="709"/>
        <w:outlineLvl w:val="9"/>
        <w:rPr>
          <w:b w:val="0"/>
          <w:i/>
          <w:sz w:val="24"/>
          <w:szCs w:val="26"/>
        </w:rPr>
      </w:pPr>
      <w:r w:rsidRPr="00295DF5">
        <w:rPr>
          <w:b w:val="0"/>
          <w:i/>
          <w:sz w:val="24"/>
          <w:szCs w:val="26"/>
        </w:rPr>
        <w:lastRenderedPageBreak/>
        <w:t>“…</w:t>
      </w:r>
    </w:p>
    <w:p w:rsidR="00295DF5" w:rsidRPr="00295DF5" w:rsidRDefault="00295DF5" w:rsidP="00295DF5">
      <w:pPr>
        <w:pStyle w:val="Balk70"/>
        <w:widowControl/>
        <w:shd w:val="clear" w:color="auto" w:fill="auto"/>
        <w:tabs>
          <w:tab w:val="left" w:pos="1134"/>
        </w:tabs>
        <w:spacing w:before="100" w:beforeAutospacing="1" w:after="100" w:afterAutospacing="1" w:line="240" w:lineRule="auto"/>
        <w:ind w:firstLine="709"/>
        <w:outlineLvl w:val="9"/>
        <w:rPr>
          <w:b w:val="0"/>
          <w:i/>
          <w:sz w:val="24"/>
          <w:szCs w:val="26"/>
        </w:rPr>
      </w:pPr>
      <w:bookmarkStart w:id="1" w:name="bookmark15"/>
      <w:r w:rsidRPr="00295DF5">
        <w:rPr>
          <w:b w:val="0"/>
          <w:i/>
          <w:sz w:val="24"/>
          <w:szCs w:val="26"/>
        </w:rPr>
        <w:t>a-) Genel Olarak Kamu Görevlisine Hakaret Suçları:</w:t>
      </w:r>
      <w:bookmarkEnd w:id="1"/>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295DF5">
        <w:rPr>
          <w:i/>
          <w:sz w:val="24"/>
          <w:szCs w:val="26"/>
        </w:rPr>
        <w:t>Mülga 765 sayılı Türk Ceza Kanununun 279. maddesinde genel olarak kamu görevlileri tanımlanmış, kanunun 266. maddesinde ise kamu görevlilerine yönelik hakaret suçlarında, suç mağdurlarının yürüttükleri göreve göre failllerin farklı yaptırımlara tabi tutulmaları öngörülmüştür. Ayrıca mülga kanunda, Cumhurbaşkanına hakaret halinde failin kanunun 158. maddesi gereğince cezalandırılması da öngörülmüştür.</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295DF5">
        <w:rPr>
          <w:i/>
          <w:sz w:val="24"/>
          <w:szCs w:val="26"/>
        </w:rPr>
        <w:t>5237 sayılı halen yürürlükte olan Türk Ceza Kanununda ise, hakaret suçunun muhatabı olan kişinin kamu görevlisi olup olmamasına göre farklı yaptırımlara yer verilmekle birlikte, Cumhurbaşkanına yönelik hakaret suçları bakımından ayrı bir maddede düzenleme yapılmasına ilişkin önceki tercih muhafaza olunmuştur.</w:t>
      </w:r>
    </w:p>
    <w:p w:rsidR="00295DF5" w:rsidRPr="00295DF5" w:rsidRDefault="00295DF5" w:rsidP="00295DF5">
      <w:pPr>
        <w:pStyle w:val="Balk70"/>
        <w:widowControl/>
        <w:shd w:val="clear" w:color="auto" w:fill="auto"/>
        <w:tabs>
          <w:tab w:val="left" w:pos="1134"/>
        </w:tabs>
        <w:spacing w:before="100" w:beforeAutospacing="1" w:after="100" w:afterAutospacing="1" w:line="240" w:lineRule="auto"/>
        <w:ind w:firstLine="709"/>
        <w:outlineLvl w:val="9"/>
        <w:rPr>
          <w:b w:val="0"/>
          <w:i/>
          <w:sz w:val="24"/>
          <w:szCs w:val="26"/>
        </w:rPr>
      </w:pPr>
      <w:bookmarkStart w:id="2" w:name="bookmark16"/>
      <w:r>
        <w:rPr>
          <w:b w:val="0"/>
          <w:i/>
          <w:sz w:val="24"/>
          <w:szCs w:val="26"/>
        </w:rPr>
        <w:t xml:space="preserve"> </w:t>
      </w:r>
      <w:r w:rsidRPr="00295DF5">
        <w:rPr>
          <w:b w:val="0"/>
          <w:i/>
          <w:sz w:val="24"/>
          <w:szCs w:val="26"/>
        </w:rPr>
        <w:t>b-) Hakaret Suçunun Mağduru Olarak Cumhurbaşkanının Mevcut Mevzuattaki Konumu:</w:t>
      </w:r>
      <w:bookmarkEnd w:id="2"/>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Anayasanın yukarıda içeriği aktarılan 101-102 maddelerinde belirlenen usule göre halk tarafından seçilen Cumhurbaşkanı, Anayasanın 104. maddesi uyarınca “Devletin Başı olan kişidir. Dolayısıyla 5237 sayılı Türk Ceza Kanununun 6/1-c maddesinde tanımlandığı biçimde “kamusal faaliyetin yürütülmesine seçilme yoluyla süreli olarak katılan” en üst düzeyde kamu kamu görevlisidir.</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Türk Ceza Kanununun yukarıda içeriği aktarılan 125/3-a maddesinde kamu görevlilerine karşı görevlerinden dolayı işlenen suçlarda yaptırım uygulanmasını öngören yasal düzenlemeye yer verilmiştir. Dolayısıyla Anayasanın 104. maddesi uyarınca “Devleti Başı” olan Cumhurbaşkanına görevinden dolayı hakaret edilmesi halinde Türk Ceza Kanunun 299. maddesindeki özel nitelikli düzenleme bulunmasa dahi, suç failinin TCK.nın 125/3-a maddesi gereğince, hakaretin görevden dolayı olmaması halinde ise, TCK.nın 125/1-2 maddeleri uyarınca cezalandırma cihetine gidilebilecektir.</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Ancak 5237 sayılı TCK.nın 299. maddesinde kamu görevlileri ile ilgili düzenlemeyle yetinilmeyerek, daha fazla koruma sağlayan ve daha ağır yaptırımlar içeren ayrı bir yasal düzenleme yapılmış, ayrıca yasa koyucu Cumhurbaşkanına karşı işlenen hakaret suçlarının “görevden dolayı” veya “görev harici” olup olmadığına bakılmaksızın suç faili hakkında aynı yaptırım uygulanmasını öngörmüştür.</w:t>
      </w:r>
      <w:bookmarkStart w:id="3" w:name="bookmark17"/>
    </w:p>
    <w:p w:rsidR="00295DF5" w:rsidRPr="00295DF5" w:rsidRDefault="00295DF5" w:rsidP="00295DF5">
      <w:pPr>
        <w:pStyle w:val="Balk70"/>
        <w:widowControl/>
        <w:shd w:val="clear" w:color="auto" w:fill="auto"/>
        <w:tabs>
          <w:tab w:val="left" w:pos="1134"/>
        </w:tabs>
        <w:spacing w:before="100" w:beforeAutospacing="1" w:after="100" w:afterAutospacing="1" w:line="240" w:lineRule="auto"/>
        <w:ind w:firstLine="709"/>
        <w:outlineLvl w:val="9"/>
        <w:rPr>
          <w:b w:val="0"/>
          <w:i/>
          <w:sz w:val="24"/>
          <w:szCs w:val="26"/>
        </w:rPr>
      </w:pPr>
      <w:r>
        <w:rPr>
          <w:b w:val="0"/>
          <w:i/>
          <w:sz w:val="24"/>
          <w:szCs w:val="26"/>
        </w:rPr>
        <w:t xml:space="preserve"> </w:t>
      </w:r>
      <w:r w:rsidRPr="00295DF5">
        <w:rPr>
          <w:b w:val="0"/>
          <w:i/>
          <w:sz w:val="24"/>
          <w:szCs w:val="26"/>
        </w:rPr>
        <w:t>c-) İfade Özgürlüğü İle İlgili AİHM ve AYM Kararları Kapsamında Değerlendirme:</w:t>
      </w:r>
      <w:bookmarkEnd w:id="3"/>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Bilindiği üzere; temel insan haklarından olan düşünceyi açıklama ve yayma özgürlüğü, Anayasa’nın 26. maddesi ile güvence altına alınmıştır.</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Anayasa’nın “Düşünceyi açıklama ve yayma hürriyeti” kenar başlıklı 26. maddesi</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295DF5">
        <w:rPr>
          <w:i/>
          <w:sz w:val="24"/>
          <w:szCs w:val="26"/>
        </w:rPr>
        <w:t>şöyledir:</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“Herkes, düşünce ve kanaatlerini söz, yazı, resim veya başka yollarla tek başına veya toplu olarak açıklama ve yayma hakkına sahiptir. Bu hürriyet resmi makamların müdahalesi olmaksızın haber veya fikir almak ya da vermek serbestliğini de kapsar. ...</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lastRenderedPageBreak/>
        <w:t xml:space="preserve"> </w:t>
      </w:r>
      <w:r w:rsidRPr="00295DF5">
        <w:rPr>
          <w:i/>
          <w:sz w:val="24"/>
          <w:szCs w:val="26"/>
        </w:rPr>
        <w:t>Bu hürriyetlerin kullanılması, milli güvenlik, kamu düzeni, kamu güvenliği, Cumhuriyetin temel nitelikleri ve Devletin ülkesi ve milleti ile bölünmez bütünlüğünün korunması,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Haber ve düşünceleri yayma araçlarının kullanılmasına ilişkin düzenleyici hükümler, bunların yayımını engellememek kaydıyla, düşünceyi açıklama ve yayma hürriyetinin sınırlanması sayılmaz.</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Düşünceyi açıklama ve yayma hürriyetinin kullanılmasında uygulanacak şekil, şart ve usuller kanunla düzenlenir.”</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Türkiye Cumhuriyeti Anayasa’nın 26/2. maddesinde, başkalarının şöhret veya haklarının korunması amacıyla söz konusu özgürlüğün sınırlanabileceği öngörülmüş; TBMM tarafından onaylanarak Anayasa’nın 90. maddesi uyarınca iç hukuk kuralı haline gelmiş olan İnsan Hakları ve Temel Özgürlüklerin Korumasına İlişkili Avrupa Sözleşmesi’nin ifade özgürlüğünü düzenleyen 10. maddesinin ikinci fıkralarında da, benzer şekilde, birinci fıkrada</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295DF5">
        <w:rPr>
          <w:i/>
          <w:sz w:val="24"/>
          <w:szCs w:val="26"/>
        </w:rPr>
        <w:t>yer alan görüş açıklama ve anlatım özgürlüğünün başkalarının şöhret ve haklarının korunması için yasayla öngörülen sınırlamalara ve yaptırıma bağlanabileceği kabul edilmiştir. Hakaret suçunu genel olarak yaptırıma bağlayan Türk Ceza Kanununun 125. maddesinin gerekçesinde, fiillin cezalandırılmasıyla korunan hukukî değerin, kişilerin şeref, haysiyet ve namusu, toplum içindeki itibarı, diğer fertler nezdindeki saygınlığı olduğu belirtilmiştir. Kişilere yönelik eleştiri, düşünceyi açıklama ve yayma özgürlüğü kapsamında fikri açıklayan kişiler bakımından bir hak olmakla birlikte, başkalarının şöhret ve haklarının ihlali sonucunu doğurması halinde hakkın kullanılmasının sağladığı korumadan yararlanmak mümkün olmayacaktır.</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Anayasa Mahkemesinin 2014/3986 sayılı ve 02/04/2014 tarihli kararlarımda;</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“Paragraf-33- İfade özgürlüğü, sadece “düşünce ve kanaate sahip olma özgürlüğünü değil aynı zamanda sahip olunan “düşünce ve kanaati (görüşü) açıklama ve yayma”, buna bağlı olarak “haber veya görüş alma ve verme” özgürlüklerini de kapsamaktadır. Bu çerçevede ifade özgürlüğü bireylerin serbestçe haber ve bilgilere, başkalarının fikirlerine ulaşabilmesi, edindiği düşünce ve kanaatlerden dolayı kınanamaması ve bunları tek başına veya başkalarıyla birlikte çeşitli yollarla serbestçe ifade edebilmesi, anlatabilmesi, savunabilmesi, başkalarına aktarabilmesi ve yayabilmesi anlamına gelir (B.No:2013/2602,23/1/2014, §40).</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Paragraf-34. İfade özgürlüğü, demokratik toplumun temellerinden biri olup toplumun gelişmesi ve bireyin kendini geliştirmesi ve gerçekleştirmesi için vazgeçilmez koşullar arasında yer alır. Hakikat ışığı fikirlerin çarpışmasından doğar. Bu bağlamda toplumsal ve siyasal çoğulculuğu sağlamak, her türlü düşüncenin barışçıl bir şekilde ve serbestçe ifadesine bağlıdır. Aynı şekilde birey özgün kişiliğini düşüncelerini serbestçe ifade edebildiği ve tartışabildiği bir ortamda gerçekleştirebilir. İfade özgürlüğü, kendimizi ve başkalarını tanımlamada, anlamada ve algılamada, bu çerçevede başkalarıyla ilişkilerimizi belirlemede ihtiyaç duyduğumuz bir değerdir (B.No:2013/2602,23/1/2014, §41).</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lastRenderedPageBreak/>
        <w:t xml:space="preserve"> </w:t>
      </w:r>
      <w:r w:rsidRPr="00295DF5">
        <w:rPr>
          <w:i/>
          <w:sz w:val="24"/>
          <w:szCs w:val="26"/>
        </w:rPr>
        <w:t>Paragraf-35. İfade özgürlüğünün, toplumsal ve bireysel işlevini yerine getirebilmesi için AİHM’nin de ifade özgürlüğüne ilişkin kararlarında sıkça belirttiği gibi, sadece toplumun ve devletin olumlu, doğru ya da zararsız gördüğü “haber” ve “düşüncelerin” değil, devletin veya halkın bir bölümünün olumsuz ya da yanlış bulduğu, onları rahatsız eden haber ve düşüncelerin de serbestçe ifade edilebilmesi ve bireylerin bu ifadeler nedeniyle herhangi bir yaptırıma tabi tutulmayacağından emin olmaları gerekir. İfade özgürlüğü, çoğulculuğun, hoşgörünün ve açık fikirliliğin temeli olup bu özgürlük olmaksızın “demokratik toplumdan” bahsedilemez (Handyside/Birleşik Krallık,B.No: 5493/72, 7/12/1976, §49).</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Paragraf-36. Anayasa’da sadece düşünce ve kanaatler değil, ifadenin tarzları, biçimleri ve araçları da güvence altına alınmıştır. Anayasa’nın 26. maddesinde düşünceyi açıklama ve yayma özgürlüğünün kullanımında başvurulabilecek araçlar “söz, yazı, resim veya başka yollar” olarak ifade edilmiş ve “başka yollar” ifadesiyle her türlü ifade aracının anayasal koruma altında olduğu gösterilmiştir (B.No:2013/2602,23/1/2014, §43).</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Paragraf-37. Bu bağlamda ifade özgürlüğü, Anayasa’da güvence altına alman diğer hak ve özgürlüklerin önemli bir kısmı ile doğrudan ilişkilidir. Görsel ve yazılı medya araçları yoluyla fikir, düşünce ve haberlerin yayılmasını güvence altına alan basın özgürlüğü de düşünceyi açıklama ve yayma özgürlüğünün kullanılma araçlarından biridir. Basın özgürlüğü, AİHS’de ifade özgürlüğüne ilişkin 10. Madde kapsamında koruma altına alınmışken, Anayasamın 28 ilâ 32. maddelerinde özel olarak düzenlenmiştir (B.No:2013/2602, 23/1/2014,</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Paragraf-38. Demokratik bir sistemde, kamu gücünü elinde bulunduranların yetkilerini hukuki sınırlar içinde kullanmalarını sağlamak açısından basın ve kamuoyu denetimi en az idari ve yargısal denetim kadar etkili bir rol oynamakta ve önem taşımaktadır. Halk adına kamunun gözcülüğü işlevini gören basının işlevini yerine getirebilmesi özgür olmasına bağlı olduğundan basın özgürlüğü, herkes için geçerli ve yaşamsal bir özgürlüktür, (bkz. AYM, E. 1997/19, K. 1997/66, K.T. 23/10/1997),(benzer yöndeki AİHM kararları için bkz. Lingens/Avusturya, B. No: 9815/82, 8/7/1986, § 41; Özgür radyo-Ses Radyo Televizyon Yapım ve Tanıtım AŞ/Türkiye, B.No: 64178/00, 64179/00, 64181/00, 64183/00, 64184/00, 30</w:t>
      </w:r>
      <w:r w:rsidRPr="00295DF5">
        <w:rPr>
          <w:rStyle w:val="Gvdemetni2KkBykHarf"/>
          <w:i/>
          <w:sz w:val="24"/>
          <w:szCs w:val="26"/>
        </w:rPr>
        <w:t>/j/</w:t>
      </w:r>
      <w:r w:rsidRPr="00295DF5">
        <w:rPr>
          <w:i/>
          <w:sz w:val="24"/>
          <w:szCs w:val="26"/>
        </w:rPr>
        <w:t>2006 § 78: Erdoğdu ve İnce/Türkiye, B. No: 25067/94, 25068/94, 8/7/1999, § 48; Jersild/Danimarka, B.No: 15890/89, 23/9/1994, §31).</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Paragraf-39. İnternet modem demokrasilerde başta ifade özgürlüğü olmak üzere temel hak ve özgürlüklerin kullanılması bakımından önemli bir araçsal değere sahip bulunmaktadır. İnternetin sağladığı sosyal medya zemini kişilerin bilgi ve düşüncelerini açıklama, karşılıklı paylaşma ve yaymaları için vazgeçilmez niteliktedir. Bu nedenle düşünceyi açıklamanın günümüzde en etkili ve yaygın yöntemlerinden biri haline gelen internet ve sosyal medya araçları konusunda yapılacak düzenleme ve uygulamalarda devletin ve idari makamların çok hassas davranmaları gerektiği açıktır”</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295DF5">
        <w:rPr>
          <w:i/>
          <w:sz w:val="24"/>
          <w:szCs w:val="26"/>
        </w:rPr>
        <w:t>Şeklinde tespit ve değerlendirmelere yer verilerek ifade özgürlüğünün kapsamı ve sınırlarına işaret edilmiştir.</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295DF5">
        <w:rPr>
          <w:i/>
          <w:sz w:val="24"/>
          <w:szCs w:val="26"/>
        </w:rPr>
        <w:t xml:space="preserve">Avrupa İnsan Hakları Sözleşmesi’nin ifade özgürlüğünü düzenleyen 10. maddesi ile ilgili olarak Avrupa İnsan Hakları Mahkemesinin (AİHM) Lingens/1986 ve Jerusalem-Avusturya/2001, Handyside-Birleşik Krallık/1976, Dilipak ve Karakaya-Türkiye/2014, Eon v. Fransa/2013 kararlarında mahkeme, bir politikacı aleyhinde kabul edilebilir eleştirinin, bu nitelikte amaçlanan sınırlarının, sıradan bir şahıs aleyhinde yapılan eleştirilere göre daha geniş olduğunu hatırlatmakta, daha çok gazeteciler tarafından olduğu kadar halk kitlesi </w:t>
      </w:r>
      <w:r w:rsidRPr="00295DF5">
        <w:rPr>
          <w:i/>
          <w:sz w:val="24"/>
          <w:szCs w:val="26"/>
        </w:rPr>
        <w:lastRenderedPageBreak/>
        <w:t>tarafından da bu kişilerin eylemlerinin ve hareketlerinin kaçınılmaz ve bilinçli şekilde dikkatli bir denetime tabi olabileceği, dolayısıyla politikacıların daha geniş bir hoşgörü göstermelerinin gerekeceği, bu kabul ve uygulamanın sadece politikacılar bakımından geçerli olmayıp, kamuya mal olmuş, yani kamuoyunda eylemleriyle veya konumları dolayısıyla tanınmış herkes için uygulanmasının gerekeceği de belirtilmektedir.</w:t>
      </w:r>
    </w:p>
    <w:p w:rsidR="00295DF5" w:rsidRPr="00295DF5" w:rsidRDefault="00295DF5" w:rsidP="00295DF5">
      <w:pPr>
        <w:pStyle w:val="Gvdemetni30"/>
        <w:widowControl/>
        <w:shd w:val="clear" w:color="auto" w:fill="auto"/>
        <w:tabs>
          <w:tab w:val="left" w:pos="1134"/>
        </w:tabs>
        <w:spacing w:before="100" w:beforeAutospacing="1" w:after="100" w:afterAutospacing="1" w:line="240" w:lineRule="auto"/>
        <w:ind w:firstLine="709"/>
        <w:jc w:val="both"/>
        <w:rPr>
          <w:b w:val="0"/>
          <w:i/>
          <w:sz w:val="24"/>
          <w:szCs w:val="26"/>
        </w:rPr>
      </w:pPr>
      <w:r>
        <w:rPr>
          <w:b w:val="0"/>
          <w:i/>
          <w:sz w:val="24"/>
          <w:szCs w:val="26"/>
        </w:rPr>
        <w:t xml:space="preserve"> </w:t>
      </w:r>
      <w:r w:rsidRPr="00295DF5">
        <w:rPr>
          <w:b w:val="0"/>
          <w:i/>
          <w:sz w:val="24"/>
          <w:szCs w:val="26"/>
        </w:rPr>
        <w:t>d-) Devlet Başkanlarına Yönelik Hakaret Suçları İle İlgili AİHM Kararları:</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Avrupa İnsan Hakları Mahkemesi, Otegi Mondragon/İspanya (2034/07-15.03.2011) davasında; ulusal mahkemelerin başvuru sahibini mahkûm ederken, Devletin başına kendisiyle ilgili bilgilerin ya da görüşlerin açıklanmasına ilişkin olarak başka insanlardan (hakaret konusunda sıradan yasa ile korunan) ya da kurumlardan (örneğin Hükümet ve Parlamento) daha fazla koruma sağlayan ve hakaretamiz beyanlar için daha ağır cezalar öngören İspanya Ceza Yasasının dayanaklarına dikkat çekerek ( §.55), bu bağlamda, hakaret konusunda Devletin başına özel bir yasayla daha fazla koruma sağlamanın kural olarak Sözleşmenin ruhuna uygun olmadığını, böylesi bir düzenlemenin, mahkeme tarafından “çağdaş uygulamalar ve politik kavramlar” ile bağdaşır görülmediğini, bir Devletin kendi Devlet başkanının saygınlığını korumadaki çıkarının, Devlet başkanına ayrıcalıklı bir statü ya da özel koruma vermenin gerekçesi olamayacağını, kurulu düzene saldıran, şoke eden ya da reddeden fikirlerin aktarılmasına gelindiğinde, ifade özgürlüğünün korunmasının daha da önemli olduğunu ( §.56), özellikle politik konuşma alanında hapis cezalarıyla ilgili Bakanlar Komitesi ve Avrupa Konseyi Parlamento Meclisimin materyallerindeki rehber ilkelerin referans olarak alınması gerektiğini belirtmiştir.</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AİHM, benzer içerikli, (Colombani/Fransa-51279/99, 25.06.2002 §§.68-69) Fas Kralına hakaret ettiği iddiasıyla başvurucunun Fransız Basın Özgürlüğü Yasasına göre cezalandırılmasıyla sonuçlanan davada, yabancı Devlet başkanlarının böyle bir ayrıcalığa sahip olmalarının modern uygulama ve siyasi kavramlarla bağdaştırılmayacağını, bir devletin başka devletlerle dostça ilişkiler sürdürme konusundaki çıkarı ne olursa olsun, böyle bir ayrıcalığın ulaşılmak istenen amaç için zorunluluk niteliğini taşımadığını, yabancı bir Devlet başkanı hakarete uğradığını iddia ediyorsa, herkes için sağlanan olağan başvuru yollarını kullanabileceğini, ama ayrıcalıklı bir korumadan yararlanamayacağını belirtmiştir.</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Artun/Güvener/Türkiye (75510/01-26.06.2007- §.31) davasında da mahkeme, Colombani ve Diğerleri-Fransa kararında yabancı devlet başkanlarına ilişkin olarak verilen kararın, daha ziyade bir devletin kendi başkanının itibarını koruma hususundaki menfaati ile ilgili olduğunu, daha önceden tespit edilen ilkelerin bir ülkenin kendi Devlet başkanını korumaya yönelik cezai düzenlemeler açısından da geçerli olduğunu, aksini düşünmenin, bugünkü siyasi uygulama ve kavramlarla bağdaşmayacağını belirterek Colombani ve diğerleri- Fransa ile Pakdemirli/Türkiye davalarına atıfta bulunmuştur.</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Yukarıda içeriklerinden alıntılar aktarılan kararlarda Avrupa İnsan Hakları Mahkemesi, Sözleşmenin 10. maddesinin ihlal edildiğine işaret etmiştir.</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e-) Anayasanın “Hukuk Devleti” İlkesine İlişkin 2. Maddesi Kapsamında Değerlendirme:</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295DF5">
        <w:rPr>
          <w:i/>
          <w:sz w:val="24"/>
          <w:szCs w:val="26"/>
        </w:rPr>
        <w:t xml:space="preserve">2709 sayılı Türkiye Cumhuriyeti Anayasasının “Cumhuriyetin Nitelikleri” başlıklı 2. maddesinde, “Türkiye Cumhuriyeti, toplumun huzuru, milli dayanışma ve adalet anlayışı içinde, insan haklarına saygılı, Atatürk milliyetçiliğine bağlı, başlangıçta belirtilen temel </w:t>
      </w:r>
      <w:r w:rsidRPr="00295DF5">
        <w:rPr>
          <w:i/>
          <w:sz w:val="24"/>
          <w:szCs w:val="26"/>
        </w:rPr>
        <w:lastRenderedPageBreak/>
        <w:t>ilkelere dayanan, demokratik, laik ve sosyal bir hukuk Devletidir.” şeklinde düzenlemeye yer verilmiş, Anayasanın 4 ncü maddesinde ise, Anayasanın 1 inci maddesindeki Devletin şeklinin Cumhuriyet olduğu hakkındaki hüküm ile, 2 nci maddesindeki Cumhuriyetin nitelikleri ve 3 üncü maddesi hükümlerinin değiştirilemeyeceği ve değiştirilmesinin de teklif edilemeyeceği belirtilmiştir.</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Anayasanın 2. maddesinde yer alan “Hukuk Devleti” ilkesi ile, Devletin tüm faaliyetlerinin hukuk normlarına ve temel hukuk ilkelerine uygunluğunun sağlanması, Devlet yönetiminin ve Devlet gücünün bireylerin temel hak ve özgürlükleri doğrultusunda sınırlanması, böylece her türlü keyfiliğin engellenmesi amaçlanmaktadır.</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Hukukun Devletinde, milli egemenlik yetkisi hukukla sınırlanmakta, kamusal yetkilerin kaynağı, dayanağı ve sınırı Devletin esas yapılanma kanunu olan Anayasa ve temel evrensel hukuk ilkeleri ile belirlenmektedir. Dolayısıyla hukuk devleti; bireylerin temel hak ve özgürlüklerinin, devleti yönetenlere ve devlet gücünü kullananlara karşı korunduğu devlet düzenidir.</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Anayasa Mahkemesi, 1963 yılında vermiş olduğu bir kararda “hukuk devleti” kavramının tanımına ilk kez değinmiş ve “Hukuk devleti, insan haklarına saygı gösteren ve bu haklan koruyucu, âdil bir hukuk düzeni kuran ve bunu devam ettirmeye kendini zorunlu sayan ve bütün faaliyetlerinde hukuka ve Anayasaya uyan bir devlettir” şeklinde bir tanımlamaya yer vermiştir. (AYM; E. 1963/124, K. 1963/243, KT: 11.10.1963.) Anayasa Mahkemesi aynı kararında “Hukuk devletinde kanun koyucu organ da dâhil olmak üzere, devletin bütün organları üstünde hukukun mutlak bir hâkimiyeti haiz olması, kanun koyucunun yasama faaliyetlerinde kendisini her zaman Anayasa ve hukukun üstün kuralları ile bağlı tutması lâzımdır. Zira kanunun da üstünde kanun koyucunun bozamıyacağı temel hukuk prensipleri ve Anayasa vardır ve kanun koyucu bunlardan uzaklaştığı takdirde meşru olmayan bir tasarrufta bulunmuş olur. Hukukun ana prensiplerine dayanmayan, devletin amacı ve varlığı sebebiyle bağdaşmayan ve sadece belli bir anda hâsıl olan geçici bir çoğunluğun sağladığı kuvvete dayanılarak çıkarılan kanunlar toplum vicdanında olumsuz tepkiler yaratır. Böyle bir kanun hukukun yüceliğini temsil etmez. Böyle bir kanunun kabulünü ve uygulanmasını hukuk devleti tasarrufu niteliğinde saymak da mümkün değildir.” şeklinde tespit ve değerlendirmelere yer vermiştir.</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Yüksek Mahkeme 01.07.1998 tarihli (E. 1996/74 , K. 1998/45) bir başka kararında ise “Anayasa’nın 2. maddesine göre, Cumhuriyetin temel ilkeleri arasında sayılan hukuk Devleti, insan haklarına saygılı ve bu haklan koruyan, adaletli bir hukuk düzeni kuran ve bunu sürdürmekle kendini yükümlü sayan, bütün işlem ve eylemleri yargı denetimine bağlı olan Devlettir. Böyle bir düzenin kurulması, yasama, yürütme ve yargı alanına giren tüm işlem ve eylemlerin hukuk kuralları içinde kalması, temel hak ve özgürlüklerin, Anayasal güvenceye bağlanmasıyla olanaklıdır” şeklinde değerlendirmede bulunarak hukuk devletinin “olması gereken” esaslı ilkelerini göstermiştir.</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 xml:space="preserve">Anayasa Mahkemesi 24.6.1993 tarihli diğer bir kararında, hukuk devletine ilişkin olumsuz (olmaması gereken) koşulları gösteren değerlendirmede bulunarak “Yasal düzenlemelerin Cumhuriyetin temel niteliklerinden birisi olan ‘Hukuk Devleti’ ilkesine uygun olması kaçınılmaz bir zorunluluktur. Yönetilenlere, en güçlü, en etkin ve en kapsamlı biçimde hukuksal güvenceyi sağlayan ‘Hukuk Devleti’, tüm devlet organlarının eylem ve işlemlerinin hukuka uygunluğunu başlıca geçerlik koşulu sayarak insan haklan, temel haklar ve özgürlükler yönünden anayasal ilkeler düzeyine ulaşmış kurallara dayanır. Hukukun üstünlüğünü, </w:t>
      </w:r>
      <w:r w:rsidRPr="00295DF5">
        <w:rPr>
          <w:i/>
          <w:sz w:val="24"/>
          <w:szCs w:val="26"/>
        </w:rPr>
        <w:lastRenderedPageBreak/>
        <w:t>toplumsal barış ve ulusal dayanışmayı amaçlayan, Anayasanın öncelik ve bağlayıcılığını gözetmeyen, hukukun evrensel kurallarına saygılı olmayan, adaletli bir düzeni gerçekleştirmeyen, kişilere değer vermeyen, çağdaş kurum ve kurallarla uyum sağlamayan Devletin, ‘Hukuk Devleti’ olduğundan söz edilemez.” demek suretiyle hukuk devletinde kabul edilemez nitelikte uygulamaların neler olabileceğini örnekleme yoluyla açıklamayı tercih etmiştir.(E. 1992/29, K. 1993/23)</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Öte yandan Yüksek Mahkeme bir kararında, “Anayasa’nın yasa önünde eşitlik ilkesini düzenleyen 10. maddesindeki kurala aykırı düşen bir yasa hükmü, Cumhuriyetin niteliklerini belirleyen Anayasa’nın 2. maddesindeki hukuk devleti kavramı karşısında geçerliliğini sürdüremez. Çünkü, Anayasa Mahkemesi’nin yerleşik kararlarında sık sık vurgulandığı gibi, hukuk devleti, her eylem ve işlemi hukuka uygun, insan haklarına saygı gösteren, bu hak ve özgürlükleri koruyup güçlendiren, her alanda adaletli bir hukuk düzeni kurup bunu geliştirerek sürdüren, Anayasa’ya aykırı durum ve tutumlardan kaçınan, hukukun üstün kurallarıyla kendini bağlı sayıp yargı denetimine açık olan, yasaların üstünde yasa koyucunun da bozamayacağı temel hukuk ilkeleri ve Anayasa bulunduğu bilincinden uzaklaştığında geçersiz kalacağını bilen devlettir.” şeklinde değerlendirmeye yer vererek Anayasanın “eşitlik” ve “hukuk devleti” ilkeleri arasındaki ilişkiye açıklık getirmiştir. (31.10.1991, E. 1991/24, K. 1991/40)</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Hukuk Devletinde esas alınan “normlar hiyerarşisi” ilkesine göre, evrensel hukuk ilkeleri ile insan hak ve özgürlükleri başta olmak üzere anayasa, yasa, tüzük, yönetmelik gibi Devletin faaliyet alanını düzenleyen kuralların alt norm ve üst norm şeklinde düzenlenmesi, alt normun her hal ve koşulda üst norma uygun olması zorunluluk arz etmektedir. Bu ilkeye göre her norm, kendi üstündeki normlara uygun olduğu ölçüde geçerlidir.</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Türkiye Cumhuriyeti Anayasasının 90/5. maddesinde “Usulüne göre yürürlüğe konulmuş Milletlerarası andlaşmaların kanun hükmünde olduğu, bunlar hakkında Anayasaya aykırılık iddiası ile Anayasa Mahkemesine başvurulamayacağı, usulüne göre yürürlüğe konulmuş temel hak ve özgürlüklere ilişkin milletlerarası andlaşmalarla kanunların aynı konuda farklı hükümler içermesi nedeniyle çıkabilecek uyuşmazlıklarda milletlerarası andlaşma hükümlerinin esas alınacağı” hükme bağlanmıştır.</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Hukuk Devleti ilkesi gereğince geçerli olan “normlar hiyerarşisi kuralı” dikkate alındığında, Anayasanın 90. maddesinde yer alan bu düzenleme karşısında, temel hak ve özgürlüklere ilişkin milletlerarası andlaşmalarla kanunların aynı konuda farklı hükümler içermesi nedeniyle çıkabilecek uyuşmazlıklarda “milletlerarası andlaşma hükümlerinin üst norm olarak gözetilip uygulanması gerekecektir.</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 xml:space="preserve">Anayasanın 90. maddesi hükmüne göre, Avrupa İnsan Hakları Sözleşmesi, TBBM tarafından kabul edilmekle üstün bir iç hukuk normu haline gelmiştir. Mahkememizce; Devlet başkanlarına özel himaye sağlayan yasaların varlığını sözleşmenin ihlali niteliğinde gören ve yukarıda içeriklerinden bahsedilen AİHM kararlarının sözleşme kapsamında bağlayıcılığı dikkate alındığında, TCK.nın 299. maddesinin Anayasanın “Hukuk Devleti ilkesi ile bağdaşmadığı ve bu yönüyle de anayasaya aykırı olduğu kanaatine varılmıştır. </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f-) Anayasanın “Eşitlik” İlkesine İlişkin 10. Maddesi Kapsamında Değerlendirme:</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 xml:space="preserve">Türkiye Cumhuriyeti Anayasasının 101-102. maddelerinin 5678 sayılı kanun ile değişikliğe uğraması ile birlikte, Cumhurbaşkanının “Türkiye Büyük Millet Meclisi üyeleri </w:t>
      </w:r>
      <w:r w:rsidRPr="00295DF5">
        <w:rPr>
          <w:i/>
          <w:sz w:val="24"/>
          <w:szCs w:val="26"/>
        </w:rPr>
        <w:lastRenderedPageBreak/>
        <w:t>içinden yirmi milletvekilinin yazılı teklifi ile ve ayrıca en son yapılan milletvekili genel seçimlerinde geçerli oylar toplamı birlikte hesaplandığında yüzde onu geçen siyasi partiler tarafından ortak aday gösterilebilmeleri” mümkün hale gelmiştir. Ortaya çıkan yeni duruma göre, siyasi partilerin bir veya bir kaçının desteğini alarak seçilen Cumhurbaşkanının siyasi bir kişilik olması kaçınılmaz bir sonuçtur. Cumhurbaşkanının Anayasa gereğince tarafsızlık yemini etmesi, bir takım anayasal görevleri üstlenmesi ve Devletin Başı olarak Türkiye Cumhuriyeti Devletini temsil etmesi onun siyasi bir aktör olması gerçeğini değiştirmeyecektir.</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Cumhurbaşkanının 5237 sayılı Türk Ceza Kanununun 6/1-c maddesinde tanımlandığı biçimde “kamusal faaliyetin yürütülmesine seçilme yoluyla süreli olarak katılan” en üst düzeyde kamu görevlisi olması dikkate alındığında, tüm kamu görevlilerine yönelik hakaret suçları bakımından tek bir yasal düzenleme olması gerekirken, TBMM Başkan ve üyeleri, Başbakan ve Bakanlar gibi siyasi kişilikler de dahil tüm siyasi kişiliklere ayrı himaye sağlayan yasal düzenlemeler bulunmadığı halde, Türkiye Cumhuriyeti Anayasası’nın 101-102. maddelerinin 5678 sayılı kanun ile değişikliğe uğraması sonucu, siyasi bir kişilik hüviyetini taşımakla birlikte, süreli olarak kamu görevini yürüten Cumhurbaşkanına yönelik hakaret suçları bakımından farklı yasal düzenlemenin bulunması, Anayasanın 10. maddesinde yazılı eşitlik ilkesinin ihlali niteliğinde görülmüştür.</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rStyle w:val="Gvdemetni2Kaln"/>
          <w:b w:val="0"/>
          <w:i/>
          <w:sz w:val="24"/>
          <w:szCs w:val="26"/>
        </w:rPr>
        <w:t xml:space="preserve"> </w:t>
      </w:r>
      <w:r w:rsidRPr="00295DF5">
        <w:rPr>
          <w:rStyle w:val="Gvdemetni2Kaln"/>
          <w:b w:val="0"/>
          <w:i/>
          <w:sz w:val="24"/>
          <w:szCs w:val="26"/>
        </w:rPr>
        <w:t xml:space="preserve">SONUÇ VE İSTEM </w:t>
      </w:r>
      <w:r w:rsidRPr="00295DF5">
        <w:rPr>
          <w:i/>
          <w:sz w:val="24"/>
          <w:szCs w:val="26"/>
        </w:rPr>
        <w:t>: Yukarıda tartışılıp izah olunan nedenlerle;</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295DF5">
        <w:rPr>
          <w:i/>
          <w:sz w:val="24"/>
          <w:szCs w:val="26"/>
        </w:rPr>
        <w:t>Mahkememizde yargılanan sanıkların suçlarının sübutu halinde, mahkememizce kurulacak hükümde 5237 sayılı Türk Ceza Kanununun 299. maddesinin tatbiki ihtimal dahilinde olup, Yüksek Mahkemeye müracaatla Anayasaya aykırılığın tespit ve iptalini istemek zarureti doğmakla,</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295DF5">
        <w:rPr>
          <w:i/>
          <w:sz w:val="24"/>
          <w:szCs w:val="26"/>
        </w:rPr>
        <w:t>Mahkememizce 5237 sayılı Türk Ceza Kanununun 299. maddesinin, 2709 sayılı Türkiye Cumhuriyeti Anayasasının “Hukuk Devleti” İlkesini düzenleyen “Cumhuriyetin Nitelikleri” başlıklı 2. maddesine ve “Kanun Önünde Eşitlik” başlıklı 10. maddesine aykırı düzenleme içerdiği kanaatine varıldığından,</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Pr>
          <w:i/>
          <w:sz w:val="24"/>
          <w:szCs w:val="26"/>
        </w:rPr>
        <w:t xml:space="preserve"> </w:t>
      </w:r>
      <w:r w:rsidRPr="00295DF5">
        <w:rPr>
          <w:i/>
          <w:sz w:val="24"/>
          <w:szCs w:val="26"/>
        </w:rPr>
        <w:t>Yüksek Mahkemece, mahkememiz başvurusunun itiraz olarak kabul edilerek, 5237sayılı Türk Ceza Kanununun 299. maddesinin İPTALİNE karar verilmesi,</w:t>
      </w:r>
    </w:p>
    <w:p w:rsidR="00295DF5" w:rsidRPr="00295DF5" w:rsidRDefault="00295DF5" w:rsidP="00295DF5">
      <w:pPr>
        <w:pStyle w:val="Gvdemetni20"/>
        <w:widowControl/>
        <w:shd w:val="clear" w:color="auto" w:fill="auto"/>
        <w:tabs>
          <w:tab w:val="left" w:pos="1134"/>
        </w:tabs>
        <w:spacing w:before="100" w:beforeAutospacing="1" w:after="100" w:afterAutospacing="1" w:line="240" w:lineRule="auto"/>
        <w:ind w:firstLine="709"/>
        <w:rPr>
          <w:i/>
          <w:sz w:val="24"/>
          <w:szCs w:val="26"/>
        </w:rPr>
      </w:pPr>
      <w:r w:rsidRPr="00295DF5">
        <w:rPr>
          <w:i/>
          <w:sz w:val="24"/>
          <w:szCs w:val="26"/>
        </w:rPr>
        <w:t>2709 sayılı Türkiye Cumhuriyeti Anayasasının 152. maddesi gereğince arz ve talep olunur.”</w:t>
      </w:r>
    </w:p>
    <w:p w:rsidR="00CE1FB9" w:rsidRPr="00295DF5" w:rsidRDefault="00CE1FB9" w:rsidP="00295DF5">
      <w:pPr>
        <w:spacing w:before="100" w:beforeAutospacing="1" w:after="100" w:afterAutospacing="1" w:line="240" w:lineRule="auto"/>
        <w:jc w:val="both"/>
        <w:rPr>
          <w:rFonts w:ascii="Times New Roman" w:hAnsi="Times New Roman" w:cs="Times New Roman"/>
          <w:sz w:val="24"/>
        </w:rPr>
      </w:pPr>
    </w:p>
    <w:sectPr w:rsidR="00CE1FB9" w:rsidRPr="00295DF5" w:rsidSect="00295DF5">
      <w:headerReference w:type="default" r:id="rId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B8D" w:rsidRDefault="00EB7B8D" w:rsidP="00295DF5">
      <w:pPr>
        <w:spacing w:after="0" w:line="240" w:lineRule="auto"/>
      </w:pPr>
      <w:r>
        <w:separator/>
      </w:r>
    </w:p>
  </w:endnote>
  <w:endnote w:type="continuationSeparator" w:id="0">
    <w:p w:rsidR="00EB7B8D" w:rsidRDefault="00EB7B8D" w:rsidP="00295D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DF5" w:rsidRDefault="00295DF5" w:rsidP="004F0DA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95DF5" w:rsidRDefault="00295DF5" w:rsidP="00295DF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DF5" w:rsidRPr="00295DF5" w:rsidRDefault="00295DF5" w:rsidP="004F0DA5">
    <w:pPr>
      <w:pStyle w:val="Altbilgi"/>
      <w:framePr w:wrap="around" w:vAnchor="text" w:hAnchor="margin" w:xAlign="right" w:y="1"/>
      <w:rPr>
        <w:rStyle w:val="SayfaNumaras"/>
        <w:rFonts w:ascii="Times New Roman" w:hAnsi="Times New Roman" w:cs="Times New Roman"/>
      </w:rPr>
    </w:pPr>
    <w:r w:rsidRPr="00295DF5">
      <w:rPr>
        <w:rStyle w:val="SayfaNumaras"/>
        <w:rFonts w:ascii="Times New Roman" w:hAnsi="Times New Roman" w:cs="Times New Roman"/>
      </w:rPr>
      <w:fldChar w:fldCharType="begin"/>
    </w:r>
    <w:r w:rsidRPr="00295DF5">
      <w:rPr>
        <w:rStyle w:val="SayfaNumaras"/>
        <w:rFonts w:ascii="Times New Roman" w:hAnsi="Times New Roman" w:cs="Times New Roman"/>
      </w:rPr>
      <w:instrText xml:space="preserve">PAGE  </w:instrText>
    </w:r>
    <w:r w:rsidRPr="00295DF5">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95DF5">
      <w:rPr>
        <w:rStyle w:val="SayfaNumaras"/>
        <w:rFonts w:ascii="Times New Roman" w:hAnsi="Times New Roman" w:cs="Times New Roman"/>
      </w:rPr>
      <w:fldChar w:fldCharType="end"/>
    </w:r>
  </w:p>
  <w:p w:rsidR="00295DF5" w:rsidRPr="00295DF5" w:rsidRDefault="00295DF5" w:rsidP="00295DF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B8D" w:rsidRDefault="00EB7B8D" w:rsidP="00295DF5">
      <w:pPr>
        <w:spacing w:after="0" w:line="240" w:lineRule="auto"/>
      </w:pPr>
      <w:r>
        <w:separator/>
      </w:r>
    </w:p>
  </w:footnote>
  <w:footnote w:type="continuationSeparator" w:id="0">
    <w:p w:rsidR="00EB7B8D" w:rsidRDefault="00EB7B8D" w:rsidP="00295D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DF5" w:rsidRPr="002F7839" w:rsidRDefault="00295DF5" w:rsidP="00295DF5">
    <w:pPr>
      <w:shd w:val="clear" w:color="auto" w:fill="FFFFFF"/>
      <w:spacing w:after="0" w:line="240" w:lineRule="auto"/>
      <w:jc w:val="both"/>
      <w:rPr>
        <w:rFonts w:ascii="Times New Roman" w:eastAsia="Times New Roman" w:hAnsi="Times New Roman" w:cs="Times New Roman"/>
        <w:b/>
        <w:bCs/>
        <w:color w:val="000000"/>
        <w:sz w:val="24"/>
        <w:lang w:eastAsia="tr-TR"/>
      </w:rPr>
    </w:pPr>
    <w:r w:rsidRPr="002F7839">
      <w:rPr>
        <w:rFonts w:ascii="Times New Roman" w:eastAsia="Times New Roman" w:hAnsi="Times New Roman" w:cs="Times New Roman"/>
        <w:b/>
        <w:bCs/>
        <w:color w:val="000000"/>
        <w:sz w:val="24"/>
        <w:lang w:eastAsia="tr-TR"/>
      </w:rPr>
      <w:t>Esas Sayısı       :  2016/25</w:t>
    </w:r>
  </w:p>
  <w:p w:rsidR="00295DF5" w:rsidRPr="002F7839" w:rsidRDefault="00295DF5" w:rsidP="00295DF5">
    <w:pPr>
      <w:shd w:val="clear" w:color="auto" w:fill="FFFFFF"/>
      <w:spacing w:after="0" w:line="240" w:lineRule="auto"/>
      <w:jc w:val="both"/>
      <w:rPr>
        <w:rFonts w:ascii="Times New Roman" w:eastAsia="Times New Roman" w:hAnsi="Times New Roman" w:cs="Times New Roman"/>
        <w:b/>
        <w:bCs/>
        <w:color w:val="000000"/>
        <w:sz w:val="24"/>
        <w:lang w:eastAsia="tr-TR"/>
      </w:rPr>
    </w:pPr>
    <w:r w:rsidRPr="002F7839">
      <w:rPr>
        <w:rFonts w:ascii="Times New Roman" w:eastAsia="Times New Roman" w:hAnsi="Times New Roman" w:cs="Times New Roman"/>
        <w:b/>
        <w:bCs/>
        <w:color w:val="000000"/>
        <w:sz w:val="24"/>
        <w:lang w:eastAsia="tr-TR"/>
      </w:rPr>
      <w:t>Karar Sayısı    :  2016/186</w:t>
    </w:r>
  </w:p>
  <w:p w:rsidR="00893D75" w:rsidRPr="00295DF5" w:rsidRDefault="00EB7B8D" w:rsidP="00295DF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DF5" w:rsidRPr="002F7839" w:rsidRDefault="00295DF5" w:rsidP="00295DF5">
    <w:pPr>
      <w:shd w:val="clear" w:color="auto" w:fill="FFFFFF"/>
      <w:spacing w:after="0" w:line="240" w:lineRule="auto"/>
      <w:jc w:val="both"/>
      <w:rPr>
        <w:rFonts w:ascii="Times New Roman" w:eastAsia="Times New Roman" w:hAnsi="Times New Roman" w:cs="Times New Roman"/>
        <w:b/>
        <w:bCs/>
        <w:color w:val="000000"/>
        <w:sz w:val="24"/>
        <w:lang w:eastAsia="tr-TR"/>
      </w:rPr>
    </w:pPr>
    <w:r w:rsidRPr="002F7839">
      <w:rPr>
        <w:rFonts w:ascii="Times New Roman" w:eastAsia="Times New Roman" w:hAnsi="Times New Roman" w:cs="Times New Roman"/>
        <w:b/>
        <w:bCs/>
        <w:color w:val="000000"/>
        <w:sz w:val="24"/>
        <w:lang w:eastAsia="tr-TR"/>
      </w:rPr>
      <w:t>Esas Sayısı       :  2016/</w:t>
    </w:r>
    <w:r>
      <w:rPr>
        <w:rFonts w:ascii="Times New Roman" w:eastAsia="Times New Roman" w:hAnsi="Times New Roman" w:cs="Times New Roman"/>
        <w:b/>
        <w:bCs/>
        <w:color w:val="000000"/>
        <w:sz w:val="24"/>
        <w:lang w:eastAsia="tr-TR"/>
      </w:rPr>
      <w:t>30</w:t>
    </w:r>
  </w:p>
  <w:p w:rsidR="00295DF5" w:rsidRPr="002F7839" w:rsidRDefault="00295DF5" w:rsidP="00295DF5">
    <w:pPr>
      <w:shd w:val="clear" w:color="auto" w:fill="FFFFFF"/>
      <w:spacing w:after="0" w:line="240" w:lineRule="auto"/>
      <w:jc w:val="both"/>
      <w:rPr>
        <w:rFonts w:ascii="Times New Roman" w:eastAsia="Times New Roman" w:hAnsi="Times New Roman" w:cs="Times New Roman"/>
        <w:b/>
        <w:bCs/>
        <w:color w:val="000000"/>
        <w:sz w:val="24"/>
        <w:lang w:eastAsia="tr-TR"/>
      </w:rPr>
    </w:pPr>
    <w:r w:rsidRPr="002F7839">
      <w:rPr>
        <w:rFonts w:ascii="Times New Roman" w:eastAsia="Times New Roman" w:hAnsi="Times New Roman" w:cs="Times New Roman"/>
        <w:b/>
        <w:bCs/>
        <w:color w:val="000000"/>
        <w:sz w:val="24"/>
        <w:lang w:eastAsia="tr-TR"/>
      </w:rPr>
      <w:t>Karar Sayısı    :  2016/</w:t>
    </w:r>
    <w:r>
      <w:rPr>
        <w:rFonts w:ascii="Times New Roman" w:eastAsia="Times New Roman" w:hAnsi="Times New Roman" w:cs="Times New Roman"/>
        <w:b/>
        <w:bCs/>
        <w:color w:val="000000"/>
        <w:sz w:val="24"/>
        <w:lang w:eastAsia="tr-TR"/>
      </w:rPr>
      <w:t>24</w:t>
    </w:r>
  </w:p>
  <w:p w:rsidR="00295DF5" w:rsidRPr="00295DF5" w:rsidRDefault="00295DF5" w:rsidP="00295DF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DF5"/>
    <w:rsid w:val="00295DF5"/>
    <w:rsid w:val="00CE1FB9"/>
    <w:rsid w:val="00EB7B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F8B38-216A-4D06-A475-659D7BFDD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DF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95DF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95DF5"/>
  </w:style>
  <w:style w:type="paragraph" w:styleId="Altbilgi">
    <w:name w:val="footer"/>
    <w:basedOn w:val="Normal"/>
    <w:link w:val="AltbilgiChar"/>
    <w:uiPriority w:val="99"/>
    <w:unhideWhenUsed/>
    <w:rsid w:val="00295D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95DF5"/>
  </w:style>
  <w:style w:type="character" w:styleId="SayfaNumaras">
    <w:name w:val="page number"/>
    <w:basedOn w:val="VarsaylanParagrafYazTipi"/>
    <w:uiPriority w:val="99"/>
    <w:semiHidden/>
    <w:unhideWhenUsed/>
    <w:rsid w:val="00295DF5"/>
  </w:style>
  <w:style w:type="character" w:customStyle="1" w:styleId="Gvdemetni3">
    <w:name w:val="Gövde metni (3)_"/>
    <w:basedOn w:val="VarsaylanParagrafYazTipi"/>
    <w:link w:val="Gvdemetni30"/>
    <w:rsid w:val="00295DF5"/>
    <w:rPr>
      <w:rFonts w:ascii="Times New Roman" w:eastAsia="Times New Roman" w:hAnsi="Times New Roman" w:cs="Times New Roman"/>
      <w:b/>
      <w:bCs/>
      <w:shd w:val="clear" w:color="auto" w:fill="FFFFFF"/>
    </w:rPr>
  </w:style>
  <w:style w:type="character" w:customStyle="1" w:styleId="Gvdemetni2">
    <w:name w:val="Gövde metni (2)_"/>
    <w:basedOn w:val="VarsaylanParagrafYazTipi"/>
    <w:link w:val="Gvdemetni20"/>
    <w:rsid w:val="00295DF5"/>
    <w:rPr>
      <w:rFonts w:ascii="Times New Roman" w:eastAsia="Times New Roman" w:hAnsi="Times New Roman" w:cs="Times New Roman"/>
      <w:shd w:val="clear" w:color="auto" w:fill="FFFFFF"/>
    </w:rPr>
  </w:style>
  <w:style w:type="character" w:customStyle="1" w:styleId="Gvdemetni2Kaln">
    <w:name w:val="Gövde metni (2) + Kalın"/>
    <w:basedOn w:val="Gvdemetni2"/>
    <w:rsid w:val="00295DF5"/>
    <w:rPr>
      <w:rFonts w:ascii="Times New Roman" w:eastAsia="Times New Roman" w:hAnsi="Times New Roman" w:cs="Times New Roman"/>
      <w:b/>
      <w:bCs/>
      <w:color w:val="000000"/>
      <w:spacing w:val="0"/>
      <w:w w:val="100"/>
      <w:position w:val="0"/>
      <w:shd w:val="clear" w:color="auto" w:fill="FFFFFF"/>
      <w:lang w:val="tr-TR" w:eastAsia="tr-TR" w:bidi="tr-TR"/>
    </w:rPr>
  </w:style>
  <w:style w:type="character" w:customStyle="1" w:styleId="Balk7">
    <w:name w:val="Başlık #7_"/>
    <w:basedOn w:val="VarsaylanParagrafYazTipi"/>
    <w:link w:val="Balk70"/>
    <w:rsid w:val="00295DF5"/>
    <w:rPr>
      <w:rFonts w:ascii="Times New Roman" w:eastAsia="Times New Roman" w:hAnsi="Times New Roman" w:cs="Times New Roman"/>
      <w:b/>
      <w:bCs/>
      <w:shd w:val="clear" w:color="auto" w:fill="FFFFFF"/>
    </w:rPr>
  </w:style>
  <w:style w:type="character" w:customStyle="1" w:styleId="Gvdemetni2KkBykHarf">
    <w:name w:val="Gövde metni (2) + Küçük Büyük Harf"/>
    <w:basedOn w:val="Gvdemetni2"/>
    <w:rsid w:val="00295DF5"/>
    <w:rPr>
      <w:rFonts w:ascii="Times New Roman" w:eastAsia="Times New Roman" w:hAnsi="Times New Roman" w:cs="Times New Roman"/>
      <w:smallCaps/>
      <w:color w:val="000000"/>
      <w:spacing w:val="0"/>
      <w:w w:val="100"/>
      <w:position w:val="0"/>
      <w:shd w:val="clear" w:color="auto" w:fill="FFFFFF"/>
      <w:lang w:val="tr-TR" w:eastAsia="tr-TR" w:bidi="tr-TR"/>
    </w:rPr>
  </w:style>
  <w:style w:type="paragraph" w:customStyle="1" w:styleId="Gvdemetni30">
    <w:name w:val="Gövde metni (3)"/>
    <w:basedOn w:val="Normal"/>
    <w:link w:val="Gvdemetni3"/>
    <w:rsid w:val="00295DF5"/>
    <w:pPr>
      <w:widowControl w:val="0"/>
      <w:shd w:val="clear" w:color="auto" w:fill="FFFFFF"/>
      <w:spacing w:after="60" w:line="0" w:lineRule="atLeast"/>
      <w:jc w:val="center"/>
    </w:pPr>
    <w:rPr>
      <w:rFonts w:ascii="Times New Roman" w:eastAsia="Times New Roman" w:hAnsi="Times New Roman" w:cs="Times New Roman"/>
      <w:b/>
      <w:bCs/>
    </w:rPr>
  </w:style>
  <w:style w:type="paragraph" w:customStyle="1" w:styleId="Gvdemetni20">
    <w:name w:val="Gövde metni (2)"/>
    <w:basedOn w:val="Normal"/>
    <w:link w:val="Gvdemetni2"/>
    <w:rsid w:val="00295DF5"/>
    <w:pPr>
      <w:widowControl w:val="0"/>
      <w:shd w:val="clear" w:color="auto" w:fill="FFFFFF"/>
      <w:spacing w:before="540" w:after="240" w:line="0" w:lineRule="atLeast"/>
      <w:jc w:val="both"/>
    </w:pPr>
    <w:rPr>
      <w:rFonts w:ascii="Times New Roman" w:eastAsia="Times New Roman" w:hAnsi="Times New Roman" w:cs="Times New Roman"/>
    </w:rPr>
  </w:style>
  <w:style w:type="paragraph" w:customStyle="1" w:styleId="Balk70">
    <w:name w:val="Başlık #7"/>
    <w:basedOn w:val="Normal"/>
    <w:link w:val="Balk7"/>
    <w:rsid w:val="00295DF5"/>
    <w:pPr>
      <w:widowControl w:val="0"/>
      <w:shd w:val="clear" w:color="auto" w:fill="FFFFFF"/>
      <w:spacing w:before="180" w:after="0" w:line="254" w:lineRule="exact"/>
      <w:ind w:firstLine="1100"/>
      <w:jc w:val="both"/>
      <w:outlineLvl w:val="6"/>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5775</Words>
  <Characters>32921</Characters>
  <Application>Microsoft Office Word</Application>
  <DocSecurity>0</DocSecurity>
  <Lines>274</Lines>
  <Paragraphs>77</Paragraphs>
  <ScaleCrop>false</ScaleCrop>
  <Company/>
  <LinksUpToDate>false</LinksUpToDate>
  <CharactersWithSpaces>38619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2019-03-14T10:54:00Z</dcterms:created>
  <dcterms:modified xsi:type="dcterms:W3CDTF">2019-03-14T10:59:00Z</dcterms:modified>
</cp:coreProperties>
</file>