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“1982 Anayasası’nın “Cumhuriyetin Nitelikleri” başlıklı 2. maddesinde, Türkiye Cumhuriyeti’nin bir hukuk devleti olduğu kurala bağlanmıştır.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hakkaniyet ve kamu yararı ölçütlerini göz önünde tutarak kullanması gerekir.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 xml:space="preserve">Spesifik bir alandaki kamu düzenini korumak veya belli bir sektörü regüle etmek amacıyla o konularda özel olarak yetkilendirilmiş idari makamlar tarafından verilen idari cezalar, doktrinde “regülatif cezalar” olarak tanımlanmıştır.  Bağımsız idari otoritelerin verdiği cezalar bu kategoriye girmektedir. </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 xml:space="preserve">Öte yandan, suç oluşturmayan, daha basit mevzuat ihlâlleri olarak kabul edilen kabahatler için de cezalar öngörülmektedir. Kamu düzeninin korunması amacıyla genel kolluk yetkileri kapsamında verilen bu çeşit “kabahat cezaları”da daha çok para cezası olarak uygulamaya konu olmaktadır. Kabahat olarak verilen idari para cezaları genel itibarıyla maktudur. Bu tip cezaların düşük meblağlı olmaları sebebiyle maktu olarak uygulanmasında bir sorun görülmeyebilir. </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Buna karşılık, regülatif cezalar açısından durum farklıdır. Çünkü, bu cezalar genellikle meblağ, etki ve sonuçlarıyla muhatapları üzerinde çok ağır sonuçlar doğuran ve genellikle gerçek kişilere değil, tüzel kişilere uygulanan cezalardır. Bu nedenle ya cezaya muhatap işletmenin cirosu, geliri ve kârı gibi objektif bir referans baz alınarak nispi şekilde belirlenmeli, ya da maktu olarak belirlenecek ise mutlaka alt ve üst limit belirlenerek fiilin ağırlığı ve hafifletici-ağırlaştırıcı nedenler dikkate alınmalıdır. Bu iki seçenekten ikisinin de benimsenmediği, yani hem cezanın nispî değil, maktu olarak belirlendiği ve hem de buna ilave olarak alt ve üst limit de öngörülmediği hâllerde ceza ölçülü ve adil olmayacaktır. (Bkz. Prof. Dr. Ali ULUSOY, İdari Yaptırımlar, s. 125 vd.)</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Ölçülülük ilkesi, temel hak ve hürriyetlerin sınırlandırılmasında, hukuksal güvencelere bağlı kalınarak, elde edilmek istenen amaca uygun sınırlandırma araçları ile o amaca ulaşılmasını ifade etmektedir. Bu ilke,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 xml:space="preserve">Öte yandan, 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w:t>
      </w:r>
      <w:r w:rsidRPr="00C711E9">
        <w:rPr>
          <w:rFonts w:ascii="Times New Roman" w:hAnsi="Times New Roman"/>
          <w:sz w:val="24"/>
          <w:szCs w:val="26"/>
        </w:rPr>
        <w:lastRenderedPageBreak/>
        <w:t>karşılaştıkları farklı durumlar karşısında en uygun çözümü üretebilmeleri için takdir yetkisiyle donatılmaları zorunludur. Takdir yetkisinin amacı, idareye farklı çözümler arasından uygun ve yerinde olanı seçme serbestisi tanımaktır. Ayrıca, her eylem biçimi için kanunla tek ceza tayin edilmesi ve idareye takdir yetkisi tanınmaması, bazı durumlarda adalete aykırı sonuçlar da doğurabilir.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Yine, 5326 sayılı Kabahatler Kanunu’nun genel hükümleri içinde yer alan 17. maddesinde, idari para cezası uygulanırken hangi ölçütlerin esas alınacağı gösterilmiştir. Söz konusu maddenin ikinci fıkrasına göre, idari para cezasının, kanunda alt ve üst sınırı gösterilmek suretiyle belirlendiği durumlarda, idari para cezasının miktarı tespit edilirken işlenen kabahatin haksızlık içeriği ile failin kusuru ve ekonomik durumunun birlikte göz önünde bulundurulması gerekmektedir. Anılan düzenleme, her ne kadar Anayasa’ya uygunluk denetimine doğrudan esas alınamasa da, yukarıda belirtilen “ölçülülük” ilkesinin bir tezahürü olması itibarıyla önem arz etmektedir.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Regülasyon kurumlarının tamamına yakınında, uygulanan idari para cezalarının nispi olduğu veya maktu olmakla birlikte alt ve üst sınır belirlendiği görülmektedir. Gerçekten, Rekabet Kurumu’nca, mevzuat ihlallerinde, 4054 sayılı Rekabetin Korunması Hakkında Kanun’un 16. maddesi uyarınca, “yıllık gayrisafi gelir” miktarının binde birinden binde beşine kadar idari para cezası verileceğinin; Radyo ve Televizyon Üst Kurulu’nca, yayın ihlallerinde, 6112 sayılı Radyo ve Televizyonların Kuruluş ve Yayın Hizmetleri Hakkında Kanun’un 32. maddesi uyarınca, “ihlâlin tespit edildiği aydan bir önceki aydaki brüt ticari iletişim gelirinin yüzde ikisinden beşine kadar” idari para cezası verileceğinin; Bilgi Teknolojileri ve İletişim Kurulu’nca, 5809 sayılı Elektronik Haberleşme Kanunu’nun 60. maddesinin birinci fıkrası uyarınca, işletmecilere bir önceki takvim yılındaki net satışlarının yüzde üçüne kadar; ikinci fıkrası uyarınca, bin liradan bir milyon liraya kadar idari para cezası verileceğinin; Tütün ve Alkol Piyasası Düzenleme Kurulu’nca, 4733 sayılı Tütün ve Alkol Piyasası Düzenleme Kurumu Teşkilat ve Görevleri Hakkında Kanun’un 8. maddesinin ikinci fıkrası uyarınca, duruma göre “50.000 TL - 250.000 TL”, “10.000 TL - 50.000 TL”, “50.000 TL - 500.000 TL” arasında idari para cezası verileceğinin belirtildiği görülmektedir. Bu örnekler çoğaltılabilir.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Somut olayda, LPG taşımak için lisans alması gereken tanker sahibinin söz konusu lisansı almaksızın taşıma faaliyetinde bulunduğundan bahisle 679.629.-TL idarî para cezası ile cezalandırıldığı görülmektedir. Ortaya konulan bu tespit üzerine, düzenleyici kurum olan Enerji Piyasası Düzenleme Kurumu’nun, vereceği idari para cezasının miktarını belirleme imkânı bulunmamaktadır. Bir başka deyişle, fiil sübuta ermiş ise verilecek idari para cezası miktarı tektir. Bu bağlamda, lisanssız olarak taşıma faaliyetinde bulunanlar açısından bir ayrım (işletmenin büyüklüğü, failin kusur durumu vd.) öngörülmediği gibi, lisansa tabi olan ve lisans almaksızın yürütülen diğer tüm faaliyetler için de uygulanan ceza miktarı aynıdır. Söz gelimi, gerçek kişi olan ve kendisine ait tek araçla bu şekilde taşıma yapan kişiye verilen ceza ile nakliye filosu sahibi kişiye verilen ceza miktarı aynıdır. Çok daha çarpıcı olan husus ise, 5307 sayılı Kanun’un 3. maddesine göre, LPG’nin dağıtımı, depolanması, otogaz bayilik faaliyetlerinin yapılması, LPG tüpünün imalatı, dolumu, muayenesi, tamiri ve bakımı ile bu amaçla tesis kurulması ve işletilmesi için lisans alınması zorunlu tutulduğundan, yukarıda belirtilen faaliyetlerden herhangi birisini lisanssız şekilde yapanlara verilecek ceza miktarının aynı olmasıdır. Örneğin, lisanssız olarak LPG taşıyan tanker sahibine verilen ceza miktarı ile, lisanssız olarak LPG dağıtım faaliyeti gerçekleştiren, LPG’yi depolayan, bu amaçla tesis kuran kişiye verilecek ceza miktarı aynıdır. Tüm ülke çapında faaliyet gösteren bir LPG dağıtım şirketi ile küçük çaplı bir LPG otogaz bayisinin aynı cezaya muhatap olmalarının hakkaniyete uygun düşmeyeceği açıktır.</w:t>
      </w:r>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lastRenderedPageBreak/>
        <w:t xml:space="preserve">Bu itibarla, lisanssız faaliyette bulunanların, ekonomik büyüklüğü ve sınıfına göre adil bir denge gözetilmeden, itiraz konusu kuralla ölçülü ve makul olmayan idari para cezası ile karşı karşıya bırakılmaları, hukuk devletinin gereği olan “adalet” ve “hakkaniyet” ilkeleriyle bağdaşmamaktadır.   </w:t>
      </w:r>
      <w:bookmarkStart w:id="0" w:name="_GoBack"/>
      <w:bookmarkEnd w:id="0"/>
    </w:p>
    <w:p w:rsidR="00C711E9" w:rsidRDefault="00C711E9" w:rsidP="00C711E9">
      <w:pPr>
        <w:spacing w:before="100" w:beforeAutospacing="1" w:after="100" w:afterAutospacing="1" w:line="240" w:lineRule="auto"/>
        <w:ind w:firstLine="709"/>
        <w:jc w:val="both"/>
        <w:rPr>
          <w:rFonts w:ascii="Times New Roman" w:hAnsi="Times New Roman"/>
          <w:sz w:val="24"/>
          <w:szCs w:val="26"/>
        </w:rPr>
      </w:pPr>
      <w:r w:rsidRPr="00C711E9">
        <w:rPr>
          <w:rFonts w:ascii="Times New Roman" w:hAnsi="Times New Roman"/>
          <w:sz w:val="24"/>
          <w:szCs w:val="26"/>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5307 sayılı Sıvılaştırılmış Petrol Gazları (LPG) Piyasası Kanunu ve Elektrik Piyasası Kanununda Değişiklik Yapılmasına Dair Kanun’un “İdarî para cezaları” başlıklı 16. maddesinin ikinci fıkrasının (a) bendinde yer alan “Aşağıdaki hâllerde sorumlulara beşyüzbin Türk Lirası idarî para cezası verilir:” kuralının, (1) numaralı alt bendi yönünden Anayasa’nın 2. maddesine aykırı olduğu kanısına ulaşılması nedeniyle bu kuralın iptali için Anayasa Mahkemesi’ne başvurulmasına; bu kuralın Anayasa’ya aykırılığı ve uygulanması durumunda telafisi güç veya imkânsız zararlar doğabileceği gözetilerek esas hakkında bir karar verilinceye kadar yürürlüğünün durdurulmasının istenilmesine;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21.05.2015 tarihinde oybirliğiyle karar verildi.”</w:t>
      </w:r>
    </w:p>
    <w:p w:rsidR="00CE1FB9" w:rsidRPr="00C711E9" w:rsidRDefault="00CE1FB9" w:rsidP="00C711E9">
      <w:pPr>
        <w:spacing w:before="100" w:beforeAutospacing="1" w:after="100" w:afterAutospacing="1" w:line="240" w:lineRule="auto"/>
        <w:ind w:firstLine="709"/>
        <w:jc w:val="both"/>
        <w:rPr>
          <w:rFonts w:ascii="Times New Roman" w:hAnsi="Times New Roman"/>
          <w:sz w:val="24"/>
        </w:rPr>
      </w:pPr>
    </w:p>
    <w:sectPr w:rsidR="00CE1FB9" w:rsidRPr="00C711E9" w:rsidSect="00C711E9">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FC" w:rsidRDefault="00CD6DFC" w:rsidP="00C711E9">
      <w:pPr>
        <w:spacing w:after="0" w:line="240" w:lineRule="auto"/>
      </w:pPr>
      <w:r>
        <w:separator/>
      </w:r>
    </w:p>
  </w:endnote>
  <w:endnote w:type="continuationSeparator" w:id="0">
    <w:p w:rsidR="00CD6DFC" w:rsidRDefault="00CD6DFC" w:rsidP="00C7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E9" w:rsidRDefault="00C711E9" w:rsidP="007234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11E9" w:rsidRDefault="00C711E9" w:rsidP="00C711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E9" w:rsidRPr="00C711E9" w:rsidRDefault="00C711E9" w:rsidP="007234A0">
    <w:pPr>
      <w:pStyle w:val="Altbilgi"/>
      <w:framePr w:wrap="around" w:vAnchor="text" w:hAnchor="margin" w:xAlign="right" w:y="1"/>
      <w:rPr>
        <w:rStyle w:val="SayfaNumaras"/>
        <w:rFonts w:ascii="Times New Roman" w:hAnsi="Times New Roman"/>
      </w:rPr>
    </w:pPr>
    <w:r w:rsidRPr="00C711E9">
      <w:rPr>
        <w:rStyle w:val="SayfaNumaras"/>
        <w:rFonts w:ascii="Times New Roman" w:hAnsi="Times New Roman"/>
      </w:rPr>
      <w:fldChar w:fldCharType="begin"/>
    </w:r>
    <w:r w:rsidRPr="00C711E9">
      <w:rPr>
        <w:rStyle w:val="SayfaNumaras"/>
        <w:rFonts w:ascii="Times New Roman" w:hAnsi="Times New Roman"/>
      </w:rPr>
      <w:instrText xml:space="preserve">PAGE  </w:instrText>
    </w:r>
    <w:r w:rsidRPr="00C711E9">
      <w:rPr>
        <w:rStyle w:val="SayfaNumaras"/>
        <w:rFonts w:ascii="Times New Roman" w:hAnsi="Times New Roman"/>
      </w:rPr>
      <w:fldChar w:fldCharType="separate"/>
    </w:r>
    <w:r>
      <w:rPr>
        <w:rStyle w:val="SayfaNumaras"/>
        <w:rFonts w:ascii="Times New Roman" w:hAnsi="Times New Roman"/>
        <w:noProof/>
      </w:rPr>
      <w:t>3</w:t>
    </w:r>
    <w:r w:rsidRPr="00C711E9">
      <w:rPr>
        <w:rStyle w:val="SayfaNumaras"/>
        <w:rFonts w:ascii="Times New Roman" w:hAnsi="Times New Roman"/>
      </w:rPr>
      <w:fldChar w:fldCharType="end"/>
    </w:r>
  </w:p>
  <w:p w:rsidR="00C711E9" w:rsidRPr="00C711E9" w:rsidRDefault="00C711E9" w:rsidP="00C711E9">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FC" w:rsidRDefault="00CD6DFC" w:rsidP="00C711E9">
      <w:pPr>
        <w:spacing w:after="0" w:line="240" w:lineRule="auto"/>
      </w:pPr>
      <w:r>
        <w:separator/>
      </w:r>
    </w:p>
  </w:footnote>
  <w:footnote w:type="continuationSeparator" w:id="0">
    <w:p w:rsidR="00CD6DFC" w:rsidRDefault="00CD6DFC" w:rsidP="00C71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E9" w:rsidRPr="00EF0B0E" w:rsidRDefault="00C711E9" w:rsidP="00C711E9">
    <w:pPr>
      <w:shd w:val="clear" w:color="auto" w:fill="FFFFFF"/>
      <w:spacing w:after="0" w:line="240" w:lineRule="auto"/>
      <w:jc w:val="both"/>
      <w:rPr>
        <w:rFonts w:ascii="Times New Roman" w:hAnsi="Times New Roman"/>
        <w:b/>
        <w:color w:val="000000"/>
        <w:sz w:val="24"/>
      </w:rPr>
    </w:pPr>
    <w:r w:rsidRPr="00EF0B0E">
      <w:rPr>
        <w:rFonts w:ascii="Times New Roman" w:hAnsi="Times New Roman"/>
        <w:b/>
        <w:color w:val="000000"/>
        <w:sz w:val="24"/>
      </w:rPr>
      <w:t>Esas Sayısı     :  2015/73</w:t>
    </w:r>
  </w:p>
  <w:p w:rsidR="00EE60E5" w:rsidRPr="00C711E9" w:rsidRDefault="00C711E9" w:rsidP="00C711E9">
    <w:pPr>
      <w:pStyle w:val="stbilgi"/>
    </w:pPr>
    <w:r w:rsidRPr="00EF0B0E">
      <w:rPr>
        <w:rFonts w:ascii="Times New Roman" w:hAnsi="Times New Roman"/>
        <w:b/>
        <w:color w:val="000000"/>
        <w:sz w:val="24"/>
      </w:rPr>
      <w:t>Karar Sayısı  :  2016/161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E9"/>
    <w:rsid w:val="00C711E9"/>
    <w:rsid w:val="00CD6D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4BA9B-C602-4D51-BEC0-D0BE849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E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11E9"/>
    <w:pPr>
      <w:tabs>
        <w:tab w:val="center" w:pos="4536"/>
        <w:tab w:val="right" w:pos="9072"/>
      </w:tabs>
    </w:pPr>
  </w:style>
  <w:style w:type="character" w:customStyle="1" w:styleId="stbilgiChar">
    <w:name w:val="Üstbilgi Char"/>
    <w:basedOn w:val="VarsaylanParagrafYazTipi"/>
    <w:link w:val="stbilgi"/>
    <w:uiPriority w:val="99"/>
    <w:rsid w:val="00C711E9"/>
    <w:rPr>
      <w:rFonts w:ascii="Calibri" w:eastAsia="Times New Roman" w:hAnsi="Calibri" w:cs="Times New Roman"/>
      <w:lang w:eastAsia="tr-TR"/>
    </w:rPr>
  </w:style>
  <w:style w:type="paragraph" w:styleId="Altbilgi">
    <w:name w:val="footer"/>
    <w:basedOn w:val="Normal"/>
    <w:link w:val="AltbilgiChar"/>
    <w:uiPriority w:val="99"/>
    <w:unhideWhenUsed/>
    <w:rsid w:val="00C711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11E9"/>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C711E9"/>
  </w:style>
  <w:style w:type="character" w:styleId="Kpr">
    <w:name w:val="Hyperlink"/>
    <w:basedOn w:val="VarsaylanParagrafYazTipi"/>
    <w:uiPriority w:val="99"/>
    <w:semiHidden/>
    <w:unhideWhenUsed/>
    <w:rsid w:val="00C71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2019-03-13T10:40:00Z</dcterms:created>
  <dcterms:modified xsi:type="dcterms:W3CDTF">2019-03-13T10:41:00Z</dcterms:modified>
</cp:coreProperties>
</file>