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FA2D46">
        <w:rPr>
          <w:rStyle w:val="Gvdemetni2"/>
          <w:rFonts w:ascii="Times New Roman" w:hAnsi="Times New Roman" w:cs="Times New Roman"/>
          <w:sz w:val="24"/>
          <w:szCs w:val="26"/>
        </w:rPr>
        <w:t xml:space="preserve">“Davacı vekili dava dilekçesinde özetle; müvekkili şirketin sahip olduğu </w:t>
      </w:r>
      <w:r w:rsidRPr="00FA2D46">
        <w:rPr>
          <w:rFonts w:ascii="Times New Roman" w:hAnsi="Times New Roman" w:cs="Times New Roman"/>
          <w:szCs w:val="26"/>
        </w:rPr>
        <w:t>doğalgaz çevrim santralleri aracılığı ile Çorlu bölgesinde elektrik üretimi yaptığını ve ürettiği elektriği enterkonnekte sistem üzerinden sağlayan bir kuruluş olarak faaliyet gösterdiğini, bunun dışında kanun ve yönetmeliklerin kendisine tanıdığı yetkiye dayalı olarak bu elektriği ve buna ilaveten günlük piyasadan aldığı elektriği kendisinin elektik satış anlaşmaları yaptığını, büyük tüketicilere anlaşma fiyatları üzerinden satışını yapmakta ve elektrik kullanma faturalarının aylık olarak müşterilerine sunmakta olduğunu, üretilen ve dışarıdan sağlanan bu elektriğin müşterilere ulaştırılması, tüketim miktarının tespiti ise, dağıtım bölgesinde tekel konumunda olan elektrik dağıtım şirketleri tarafından yapılmakta olduğu ve müvekkili şirkete her ay muhtelif isimler altında fatura edildiği, müvekkili şirket tarafından dağıtım şirketine ödemelerin yapıldığı, her ayın faturasına yansıtılmakta olan kayıp-kaçak bedelinin müvekkili şirket tarafından davalıya ödendiğini, söz konusu kayıp-kaçak vs. kalemlerle ilgili ödemelerin müvekkili şirket açısından telafisi çok zor durumlar yarattığını, tedbiren dava konusu bedellerin davalıdan tahsil edilen bu bedellerin davalıdan alınarak davacı müvekkiline verilmesini, Yargıtay 3. Hukuk Dairesinin 2015/2361 esas 2016/2184 karar sayılı ilamda elektrik şirketlerinin EPDK kurul kararları ve tebliğleri çerçevesinde elektrik kullanan abonelerin faturalarına yansıtarak aldıkları kayıp kaçak, perakende satış hizmeti, iletim sistemi kullanım ve dağıtım bedellerinin elektrik enerjisi kullananlara(sanayi, ticari ve mesken abonelerine) aktif tüketim bedeli dışında ek bir mali yük ve külfet getirdiğini, Anayasanın 73. maddesi gereği vergi, resim, harç vb mali yükümlülüklerin kanunla koyulacağı, değiştirileceği veya kaldırılacağının düzenlendiğini, elektrik faturalarına yansıtılan %2 TRT payının da kanunla getirildiği ve kanunun verdiği açık ve şeffaf yetkiye dayanarak tahsil edilmediğini, EPDK kurul kararları ve tebliğleri gereğince alınan bu bedellerin kanunla konulup değiştirilebileceği, kaldırılacağı, ayrıca Elektrik Piyasası Kanununun düşük maliyetli enerji temini ve şeffaf bir elektrik enerjisi piyasası oluşturulması ilkelerine uygun düşmediğini, bu hususun Yargıtay Hukuk Genel Kurulunun 2013/7-2454 esas 2014/679 karar sayılı 21.05.2014 tarihli kararında tereddüte yer bırakmayacak şekilde hükme bağlandığını, faturalar incelendiğinde sözleşme ceza bedeli adı altında olağan dışı bir kalemin yer aldığının görüldüğünü, hukuk dışı tahsil edilen bu miktarların faturalandırılarak KDV matrahına dahil edilmesinin kabul edilemez olduğunu, enerji şirketlerinin müşterilerine ait müşteri numaralarını bilgisi dışında değiştirdiklerinin bilindiğini belirterek fazlaya ilişkin hakları saklı kalmak üzere davalı tarafından dava tarihinden geriye doğru müvekkilinden doğmuş ve haksız olarak tahsil edilen 1,570,00.-TL kayıp kaçak bedeli kısmının davalılardan tahsili ile alacağın müvekkili şirketten tahsil edildiği günden itibaren işleyecek avans faiz oranları ile davalıdan müştereken ve müteselsilen müvekkiline ödenmesine, bakiye kısmının alacağının müvekkili şirketten tahsil edildiği günden itibaren işleyecek avans faiz oranları ile davalıdan müştereken ödenmesi gerektiğinin tespitine karar verilmesini talep ve dava etmiştir.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FA2D46">
        <w:rPr>
          <w:rStyle w:val="Gvdemetni2"/>
          <w:rFonts w:ascii="Times New Roman" w:hAnsi="Times New Roman" w:cs="Times New Roman"/>
          <w:sz w:val="24"/>
          <w:szCs w:val="26"/>
        </w:rPr>
        <w:t>Davalı Akdeniz Elektrik Dağıtım A.Ş vekili cevap dilekçesi ile özetle</w:t>
      </w:r>
      <w:r w:rsidRPr="00FA2D46">
        <w:rPr>
          <w:rFonts w:ascii="Times New Roman" w:hAnsi="Times New Roman" w:cs="Times New Roman"/>
          <w:szCs w:val="26"/>
        </w:rPr>
        <w:t xml:space="preserve">; müvekkili şirket aleyhine açılan davaların Türkiye Elektrik İletim A.Ş, Maliye Bakanlığı ve Enerji Piyasası Düzenleme Kurumu'na ihbar edilmesinin gerektiğini, davacının dilekçesinde kendisinden haksız tahsil edildiğini iddia ettiği kayıp, kaçak, psh., dağıtım, iletim, ve sayaç okuma ve sair bedeller diyerek talep kısmında ne istediğini net şekilde ortaya koymadığını, öncelikle bu hali ile vs. İbaresini kabul edilebilir olmadığını, davacının faize ilişkin taleplerini kabul etmediklerini, zaman aşımı yönünden sebepsiz zenginleşme için öngörülen 2 yıllık zamanaşımı süresinin geçtiğini, müvekkili şirket ile davacı şirket arasında elektrik alım satımına ilişin bir ilişki bulunmadığını, bu nedenle de davacı şirketten kayıp kaçar bedeli tahsil edilmediğini, davacı şirketin toptan satış yapan tedarikçi bir şirket olduğunu, elektrik satmış olduğu tüketicilerden kayıp kaçak psh, dağıtım, iletim ve sayaç okuma ve sair bedeller tahsil eden de </w:t>
      </w:r>
      <w:r w:rsidRPr="00FA2D46">
        <w:rPr>
          <w:rFonts w:ascii="Times New Roman" w:hAnsi="Times New Roman" w:cs="Times New Roman"/>
          <w:szCs w:val="26"/>
        </w:rPr>
        <w:lastRenderedPageBreak/>
        <w:t>davacı şirketin kendisi olduğunu, müvekkili şirketin sözleşmesel alacak olarak talep edilen bu bedelin bakımından sözleşmenin tarafı dahi olmadığında hiçbir şekilde sorumluluğunun bulunmadığını belirterek hukuki dayanaktan yoksun olan davanın reddine karar verilmesini talep etmiştir.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FA2D46">
        <w:rPr>
          <w:rStyle w:val="Gvdemetni2"/>
          <w:rFonts w:ascii="Times New Roman" w:hAnsi="Times New Roman" w:cs="Times New Roman"/>
          <w:sz w:val="24"/>
          <w:szCs w:val="26"/>
        </w:rPr>
        <w:t>Davacı vekili 08/08/2016 tarihli dilekçesi ile</w:t>
      </w:r>
      <w:r w:rsidRPr="00FA2D46">
        <w:rPr>
          <w:rFonts w:ascii="Times New Roman" w:hAnsi="Times New Roman" w:cs="Times New Roman"/>
          <w:szCs w:val="26"/>
        </w:rPr>
        <w:t xml:space="preserve"> “6446 Sayılı Elektrik Piyasası Kanununun muhtelif maddelerinde değişik ve bu kanuna getirilen 6719 Sayılı Elektrik Piyasası Kanunu ile bazı Kanunlarda Değişiklik Yapılmasına Dair Kanunu'nun” 21. maddesi ile 6446 Sayılı Kanunun 17. maddesine 10. fıkra olarak eklenen 21/10. maddesi ile 6446 Sayılı Kanuna geçici 20. maddenin eklenmesine ilişkin 26. maddelerinin Anayasa'ya aykırılığı iddiasında bulunmuştur.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FA2D46">
        <w:rPr>
          <w:rStyle w:val="Gvdemetni2"/>
          <w:rFonts w:ascii="Times New Roman" w:hAnsi="Times New Roman" w:cs="Times New Roman"/>
          <w:sz w:val="24"/>
          <w:szCs w:val="26"/>
        </w:rPr>
        <w:t>Dava;</w:t>
      </w:r>
      <w:r w:rsidRPr="00FA2D46">
        <w:rPr>
          <w:rFonts w:ascii="Times New Roman" w:hAnsi="Times New Roman" w:cs="Times New Roman"/>
          <w:szCs w:val="26"/>
        </w:rPr>
        <w:t xml:space="preserve">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adı altında yapılan tahsilatların iadesi istemine ilişkin olup, uyuşmazlık konusu tahsil edilen bu bedellerin yasal dayanağının bulunup bulunmadığı ve davalı dağıtım şirketinden iadesinjn istenip istenemeyeceği konusundadır.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Davalı taraf, kayıp kaçak bedellerinin EPDK'nun kararlarına dayalı olarak tahsil edildiğini, EPDK'nun kararı iptal edilmedikçe kayıp kaçak bedeli tahsilinin haklı olduğunu savunmuştur. Elektrik dağıtım hizmetlerinin tekel niteliğinde yürütülen hizmet olduğu yargı kararları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alınan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Konuya ilişkin yasal düzenlemeler incelendiğinde; 17.06.2016 tarih ve 29745 Sayılı Resmi Gazetede yayınlanarak yürürlüğe giren 6719 Sayılı Elektrik Piyasası Kanunu ile Bazı Kanunlarda Değişiklik Yapılmasına Dair Kanunun 21. maddesi ile 6446 Sayılı Kanunun 17. maddesine 10 fıkra olarak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 xml:space="preserve">Geçici 20. maddedeki düzenleme, 6719 sayılı yasanın yürürlüğe girmesinden önce Enerji Piyasası Düzenleme Kurulunca alınan kararlara göre tahakkuk ve tahsil edilen faturalardan dolayı, bu tahakkuk ve tahsillerin Enerji Piyasası Düzenleme Kurulunun </w:t>
      </w:r>
      <w:r w:rsidRPr="00FA2D46">
        <w:rPr>
          <w:rFonts w:ascii="Times New Roman" w:hAnsi="Times New Roman" w:cs="Times New Roman"/>
          <w:szCs w:val="26"/>
        </w:rPr>
        <w:lastRenderedPageBreak/>
        <w:t>kararlarına uygun olduğu kabul edilerek yasanın uygulamasını devam eden dava ve bundan sonra açılacak davalar içinde uygulama yolunu açmıştır.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Mahkememize göre bu düzenlemeler T.C. Anayasa'sının 5, 9, 11, 36, 73 ve 125/4 maddelerine açıkça aykırıdır.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Anayasamızın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FA2D46" w:rsidRDefault="00FA2D46" w:rsidP="00FA2D46">
      <w:pPr>
        <w:pStyle w:val="Gvdemetni3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sz w:val="24"/>
          <w:szCs w:val="26"/>
        </w:rPr>
      </w:pPr>
      <w:r>
        <w:rPr>
          <w:rStyle w:val="Gvdemetni3KalnDeil"/>
          <w:rFonts w:ascii="Times New Roman" w:hAnsi="Times New Roman" w:cs="Times New Roman"/>
          <w:sz w:val="24"/>
          <w:szCs w:val="26"/>
        </w:rPr>
        <w:t xml:space="preserve"> </w:t>
      </w:r>
      <w:r w:rsidRPr="00FA2D46">
        <w:rPr>
          <w:rStyle w:val="Gvdemetni3KalnDeil"/>
          <w:rFonts w:ascii="Times New Roman" w:hAnsi="Times New Roman" w:cs="Times New Roman"/>
          <w:sz w:val="24"/>
          <w:szCs w:val="26"/>
        </w:rPr>
        <w:t xml:space="preserve">Anayasamızın 9. maddesinde </w:t>
      </w:r>
      <w:r w:rsidRPr="00FA2D46">
        <w:rPr>
          <w:rFonts w:ascii="Times New Roman" w:hAnsi="Times New Roman" w:cs="Times New Roman"/>
          <w:b w:val="0"/>
          <w:sz w:val="24"/>
          <w:szCs w:val="26"/>
        </w:rPr>
        <w:t>“Yargı yetkisi, Türk Milleti adına bağımsız mahkemelerce kullanılır.”</w:t>
      </w:r>
    </w:p>
    <w:p w:rsidR="00FA2D46" w:rsidRP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Anayasamızın 11. maddesinde “Anayasa hükümleri, yasama, yürütme ve yargı organlarını, idare makamlarını ve diğer kuruluş ve kişileri bağlayan temel hukuk kurallarıdır.”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Anayasamızın 36. maddesinde (Değişik: 3/10/2001-4709/14 md.)”Herkes, meşru vasıta ve yollardan faydalanmak suretiyle yargı mercileri önünde davacı veya davalı olarak iddia ve savunma ile adil yargılanma hakkına sahiptir. Hiçbir mahkeme, görev ve yetkisi içindeki davaya bakmaktan kaçınamaz.”</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Anayasanın 40. maddesine göre; “Anayasa ile tanınmış hak ve hürriyetleri ihlal edilen herkes, yetkili makama geciktirilmeden başvurma imkanının sağlanmasını isteme hakkına sahiptir.”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TC Anayasası'nın 73. maddesinde;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w:t>
      </w:r>
      <w:bookmarkStart w:id="0" w:name="_GoBack"/>
      <w:bookmarkEnd w:id="0"/>
      <w:r w:rsidRPr="00FA2D46">
        <w:rPr>
          <w:rFonts w:ascii="Times New Roman" w:hAnsi="Times New Roman" w:cs="Times New Roman"/>
          <w:szCs w:val="26"/>
        </w:rPr>
        <w:t>lemez”.</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FA2D46">
        <w:rPr>
          <w:rFonts w:ascii="Times New Roman" w:hAnsi="Times New Roman" w:cs="Times New Roman"/>
          <w:szCs w:val="26"/>
        </w:rPr>
        <w:t>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6719 Sayılı Yasanın 21. maddesi yürürlüğe girdiği 17.06.2016 tarihinden sonrası ve geçici 20. maddeyi ön gören 26 maddesi de 20.06.2016 tarihine kadar açılan takip ve davalar ile başvuruları kapsamaktadır.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bu şekilde kısıtlanması kuvvetler ayrılığı ilkesine müdahale niteliği taşıdığından Anayasanın Yargı Yetkisi başlıklı 9 maddesine de aykırıdır.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Kanunun 26. maddesi ile geriye dönük olarak açılan icra takipleri davalar ve başvuruları da kapsayan geçici 20. maddede “Aleyhe geriye yürümezlik ilkesini ihlal ettiği için hukuka ve Anayasa'ya aykırıdır.”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A2D46">
        <w:rPr>
          <w:rFonts w:ascii="Times New Roman" w:hAnsi="Times New Roman" w:cs="Times New Roman"/>
          <w:szCs w:val="26"/>
        </w:rPr>
        <w:t xml:space="preserve">Açıklanan nedenlerle ve bir davaya bakmakta olanı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 c, d, f) bentlerinin değiştirilmesi </w:t>
      </w:r>
      <w:r w:rsidRPr="00FA2D46">
        <w:rPr>
          <w:rFonts w:ascii="Times New Roman" w:hAnsi="Times New Roman" w:cs="Times New Roman"/>
          <w:szCs w:val="26"/>
        </w:rPr>
        <w:lastRenderedPageBreak/>
        <w:t>ve aynı maddeye fıkra eklenmesi hakkındaki 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edilip, yürürlükteki yasa hükümlerine göre yargılama yapılıp karar verilmesine karar verilmiştir.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Kaln"/>
          <w:rFonts w:ascii="Times New Roman" w:hAnsi="Times New Roman" w:cs="Times New Roman"/>
          <w:sz w:val="24"/>
          <w:szCs w:val="26"/>
        </w:rPr>
        <w:t xml:space="preserve"> </w:t>
      </w:r>
      <w:r w:rsidRPr="00FA2D46">
        <w:rPr>
          <w:rStyle w:val="Gvdemetni2Kaln"/>
          <w:rFonts w:ascii="Times New Roman" w:hAnsi="Times New Roman" w:cs="Times New Roman"/>
          <w:sz w:val="24"/>
          <w:szCs w:val="26"/>
        </w:rPr>
        <w:t xml:space="preserve">SONUÇ VE İSTEM </w:t>
      </w:r>
      <w:r w:rsidRPr="00FA2D46">
        <w:rPr>
          <w:rStyle w:val="Gvdemetni2"/>
          <w:rFonts w:ascii="Times New Roman" w:hAnsi="Times New Roman" w:cs="Times New Roman"/>
          <w:sz w:val="24"/>
          <w:szCs w:val="26"/>
        </w:rPr>
        <w:t xml:space="preserve">: Yukarıda açıklanan nedenlerle; 6719 Sayılı </w:t>
      </w:r>
      <w:r w:rsidRPr="00FA2D46">
        <w:rPr>
          <w:rFonts w:ascii="Times New Roman" w:hAnsi="Times New Roman" w:cs="Times New Roman"/>
          <w:szCs w:val="26"/>
        </w:rPr>
        <w:t>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olduğunun tespiti ile iptaline karar verilmesi arz olunur.”</w:t>
      </w:r>
    </w:p>
    <w:p w:rsidR="00FA2D46" w:rsidRDefault="00FA2D46" w:rsidP="00FA2D46">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FA2D46" w:rsidRDefault="00CE1FB9" w:rsidP="00FA2D46">
      <w:pPr>
        <w:widowControl/>
        <w:spacing w:before="100" w:beforeAutospacing="1" w:after="100" w:afterAutospacing="1"/>
        <w:ind w:firstLine="709"/>
        <w:jc w:val="both"/>
        <w:rPr>
          <w:rFonts w:ascii="Times New Roman" w:hAnsi="Times New Roman" w:cs="Times New Roman"/>
        </w:rPr>
      </w:pPr>
    </w:p>
    <w:sectPr w:rsidR="00CE1FB9" w:rsidRPr="00FA2D46" w:rsidSect="00FA2D46">
      <w:headerReference w:type="default" r:id="rId6"/>
      <w:footerReference w:type="even" r:id="rId7"/>
      <w:footerReference w:type="default" r:id="rId8"/>
      <w:headerReference w:type="first" r:id="rId9"/>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24" w:rsidRDefault="009F0624" w:rsidP="00FA2D46">
      <w:r>
        <w:separator/>
      </w:r>
    </w:p>
  </w:endnote>
  <w:endnote w:type="continuationSeparator" w:id="0">
    <w:p w:rsidR="009F0624" w:rsidRDefault="009F0624" w:rsidP="00FA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46" w:rsidRDefault="00FA2D46" w:rsidP="00A22F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2D46" w:rsidRDefault="00FA2D46" w:rsidP="00FA2D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46" w:rsidRPr="00FA2D46" w:rsidRDefault="00FA2D46" w:rsidP="00A22F93">
    <w:pPr>
      <w:pStyle w:val="Altbilgi"/>
      <w:framePr w:wrap="around" w:vAnchor="text" w:hAnchor="margin" w:xAlign="right" w:y="1"/>
      <w:rPr>
        <w:rStyle w:val="SayfaNumaras"/>
        <w:rFonts w:ascii="Times New Roman" w:hAnsi="Times New Roman" w:cs="Times New Roman"/>
      </w:rPr>
    </w:pPr>
    <w:r w:rsidRPr="00FA2D46">
      <w:rPr>
        <w:rStyle w:val="SayfaNumaras"/>
        <w:rFonts w:ascii="Times New Roman" w:hAnsi="Times New Roman" w:cs="Times New Roman"/>
      </w:rPr>
      <w:fldChar w:fldCharType="begin"/>
    </w:r>
    <w:r w:rsidRPr="00FA2D46">
      <w:rPr>
        <w:rStyle w:val="SayfaNumaras"/>
        <w:rFonts w:ascii="Times New Roman" w:hAnsi="Times New Roman" w:cs="Times New Roman"/>
      </w:rPr>
      <w:instrText xml:space="preserve">PAGE  </w:instrText>
    </w:r>
    <w:r w:rsidRPr="00FA2D4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A2D46">
      <w:rPr>
        <w:rStyle w:val="SayfaNumaras"/>
        <w:rFonts w:ascii="Times New Roman" w:hAnsi="Times New Roman" w:cs="Times New Roman"/>
      </w:rPr>
      <w:fldChar w:fldCharType="end"/>
    </w:r>
  </w:p>
  <w:p w:rsidR="00FA2D46" w:rsidRPr="00FA2D46" w:rsidRDefault="00FA2D46" w:rsidP="00FA2D4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24" w:rsidRDefault="009F0624" w:rsidP="00FA2D46">
      <w:r>
        <w:separator/>
      </w:r>
    </w:p>
  </w:footnote>
  <w:footnote w:type="continuationSeparator" w:id="0">
    <w:p w:rsidR="009F0624" w:rsidRDefault="009F0624" w:rsidP="00FA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46" w:rsidRPr="00DC6DDF" w:rsidRDefault="00FA2D46" w:rsidP="00FA2D46">
    <w:pPr>
      <w:widowControl/>
      <w:shd w:val="clear" w:color="auto" w:fill="FFFFFF"/>
      <w:jc w:val="both"/>
      <w:rPr>
        <w:rFonts w:ascii="Times New Roman" w:eastAsia="Times New Roman" w:hAnsi="Times New Roman" w:cs="Times New Roman"/>
        <w:b/>
        <w:bCs/>
        <w:szCs w:val="26"/>
      </w:rPr>
    </w:pPr>
    <w:r w:rsidRPr="00DC6DDF">
      <w:rPr>
        <w:rFonts w:ascii="Times New Roman" w:eastAsia="Times New Roman" w:hAnsi="Times New Roman" w:cs="Times New Roman"/>
        <w:b/>
        <w:bCs/>
        <w:szCs w:val="26"/>
      </w:rPr>
      <w:t>Esas Sayısı      :  2016/161</w:t>
    </w:r>
  </w:p>
  <w:p w:rsidR="00FA2D46" w:rsidRPr="00DC6DDF" w:rsidRDefault="00FA2D46" w:rsidP="00FA2D46">
    <w:pPr>
      <w:widowControl/>
      <w:shd w:val="clear" w:color="auto" w:fill="FFFFFF"/>
      <w:jc w:val="both"/>
      <w:rPr>
        <w:rFonts w:ascii="Times New Roman" w:eastAsia="Times New Roman" w:hAnsi="Times New Roman" w:cs="Times New Roman"/>
        <w:b/>
        <w:bCs/>
        <w:szCs w:val="26"/>
      </w:rPr>
    </w:pPr>
    <w:r w:rsidRPr="00DC6DDF">
      <w:rPr>
        <w:rFonts w:ascii="Times New Roman" w:eastAsia="Times New Roman" w:hAnsi="Times New Roman" w:cs="Times New Roman"/>
        <w:b/>
        <w:bCs/>
        <w:szCs w:val="26"/>
      </w:rPr>
      <w:t>Karar Sayısı   :  2016/145</w:t>
    </w:r>
  </w:p>
  <w:p w:rsidR="00FA2D46" w:rsidRPr="00FA2D46" w:rsidRDefault="00FA2D46" w:rsidP="00FA2D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1B" w:rsidRDefault="009F0624">
    <w:pPr>
      <w:pStyle w:val="stbilgi"/>
    </w:pPr>
  </w:p>
  <w:p w:rsidR="00E2661B" w:rsidRDefault="009F0624">
    <w:pPr>
      <w:pStyle w:val="stbilgi"/>
    </w:pPr>
    <w:r>
      <w:t>Esas Sayısı   : 2016/161</w:t>
    </w:r>
  </w:p>
  <w:p w:rsidR="00E2661B" w:rsidRDefault="009F0624">
    <w:pPr>
      <w:pStyle w:val="stbilgi"/>
    </w:pPr>
    <w:r>
      <w:t>Karar Sayısı : 2016/</w:t>
    </w:r>
    <w:r>
      <w:t>145</w:t>
    </w:r>
  </w:p>
  <w:p w:rsidR="00E2661B" w:rsidRDefault="009F06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46"/>
    <w:rsid w:val="009F0624"/>
    <w:rsid w:val="00CE1FB9"/>
    <w:rsid w:val="00FA2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3FD0-1FBB-46A6-ACEC-C86FF436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2D46"/>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FA2D46"/>
    <w:rPr>
      <w:rFonts w:ascii="Arial" w:eastAsia="Arial" w:hAnsi="Arial" w:cs="Arial"/>
      <w:b w:val="0"/>
      <w:bCs w:val="0"/>
      <w:i w:val="0"/>
      <w:iCs w:val="0"/>
      <w:smallCaps w:val="0"/>
      <w:strike w:val="0"/>
      <w:sz w:val="21"/>
      <w:szCs w:val="21"/>
      <w:u w:val="none"/>
    </w:rPr>
  </w:style>
  <w:style w:type="character" w:customStyle="1" w:styleId="Gvdemetni2Kaln">
    <w:name w:val="Gövde metni (2) + Kalın"/>
    <w:basedOn w:val="VarsaylanParagrafYazTipi"/>
    <w:rsid w:val="00FA2D46"/>
    <w:rPr>
      <w:rFonts w:ascii="Arial" w:eastAsia="Arial" w:hAnsi="Arial" w:cs="Arial"/>
      <w:b/>
      <w:bCs/>
      <w:i w:val="0"/>
      <w:iCs w:val="0"/>
      <w:smallCaps w:val="0"/>
      <w:strike w:val="0"/>
      <w:sz w:val="21"/>
      <w:szCs w:val="21"/>
      <w:u w:val="none"/>
    </w:rPr>
  </w:style>
  <w:style w:type="character" w:customStyle="1" w:styleId="Gvdemetni3">
    <w:name w:val="Gövde metni (3)_"/>
    <w:basedOn w:val="VarsaylanParagrafYazTipi"/>
    <w:link w:val="Gvdemetni30"/>
    <w:rsid w:val="00FA2D46"/>
    <w:rPr>
      <w:rFonts w:ascii="Arial" w:eastAsia="Arial" w:hAnsi="Arial" w:cs="Arial"/>
      <w:b/>
      <w:bCs/>
      <w:sz w:val="21"/>
      <w:szCs w:val="21"/>
      <w:shd w:val="clear" w:color="auto" w:fill="FFFFFF"/>
    </w:rPr>
  </w:style>
  <w:style w:type="character" w:customStyle="1" w:styleId="Gvdemetni3KalnDeil">
    <w:name w:val="Gövde metni (3) + Kalın Değil"/>
    <w:basedOn w:val="Gvdemetni3"/>
    <w:rsid w:val="00FA2D46"/>
    <w:rPr>
      <w:rFonts w:ascii="Arial" w:eastAsia="Arial" w:hAnsi="Arial" w:cs="Arial"/>
      <w:b/>
      <w:bCs/>
      <w:color w:val="000000"/>
      <w:spacing w:val="0"/>
      <w:w w:val="100"/>
      <w:position w:val="0"/>
      <w:sz w:val="21"/>
      <w:szCs w:val="21"/>
      <w:shd w:val="clear" w:color="auto" w:fill="FFFFFF"/>
      <w:lang w:val="tr-TR" w:eastAsia="tr-TR" w:bidi="tr-TR"/>
    </w:rPr>
  </w:style>
  <w:style w:type="paragraph" w:customStyle="1" w:styleId="Gvdemetni30">
    <w:name w:val="Gövde metni (3)"/>
    <w:basedOn w:val="Normal"/>
    <w:link w:val="Gvdemetni3"/>
    <w:rsid w:val="00FA2D46"/>
    <w:pPr>
      <w:shd w:val="clear" w:color="auto" w:fill="FFFFFF"/>
      <w:spacing w:line="288" w:lineRule="exact"/>
    </w:pPr>
    <w:rPr>
      <w:rFonts w:ascii="Arial" w:eastAsia="Arial" w:hAnsi="Arial" w:cs="Arial"/>
      <w:b/>
      <w:bCs/>
      <w:color w:val="auto"/>
      <w:sz w:val="21"/>
      <w:szCs w:val="21"/>
      <w:lang w:eastAsia="en-US" w:bidi="ar-SA"/>
    </w:rPr>
  </w:style>
  <w:style w:type="paragraph" w:styleId="stbilgi">
    <w:name w:val="header"/>
    <w:basedOn w:val="Normal"/>
    <w:link w:val="stbilgiChar"/>
    <w:uiPriority w:val="99"/>
    <w:unhideWhenUsed/>
    <w:rsid w:val="00FA2D46"/>
    <w:pPr>
      <w:tabs>
        <w:tab w:val="center" w:pos="4536"/>
        <w:tab w:val="right" w:pos="9072"/>
      </w:tabs>
    </w:pPr>
  </w:style>
  <w:style w:type="character" w:customStyle="1" w:styleId="stbilgiChar">
    <w:name w:val="Üstbilgi Char"/>
    <w:basedOn w:val="VarsaylanParagrafYazTipi"/>
    <w:link w:val="stbilgi"/>
    <w:uiPriority w:val="99"/>
    <w:rsid w:val="00FA2D46"/>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FA2D46"/>
    <w:pPr>
      <w:tabs>
        <w:tab w:val="center" w:pos="4536"/>
        <w:tab w:val="right" w:pos="9072"/>
      </w:tabs>
    </w:pPr>
  </w:style>
  <w:style w:type="character" w:customStyle="1" w:styleId="AltbilgiChar">
    <w:name w:val="Altbilgi Char"/>
    <w:basedOn w:val="VarsaylanParagrafYazTipi"/>
    <w:link w:val="Altbilgi"/>
    <w:uiPriority w:val="99"/>
    <w:rsid w:val="00FA2D46"/>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FA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2473</Words>
  <Characters>14097</Characters>
  <Application>Microsoft Office Word</Application>
  <DocSecurity>0</DocSecurity>
  <Lines>117</Lines>
  <Paragraphs>33</Paragraphs>
  <ScaleCrop>false</ScaleCrop>
  <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2019-03-13T07:43:00Z</dcterms:created>
  <dcterms:modified xsi:type="dcterms:W3CDTF">2019-03-13T07:45:00Z</dcterms:modified>
</cp:coreProperties>
</file>