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bookmarkStart w:id="0" w:name="_GoBack"/>
      <w:r>
        <w:rPr>
          <w:rFonts w:ascii="Times New Roman" w:hAnsi="Times New Roman" w:cs="Times New Roman"/>
          <w:szCs w:val="26"/>
        </w:rPr>
        <w:t xml:space="preserve"> </w:t>
      </w:r>
      <w:bookmarkEnd w:id="0"/>
      <w:r w:rsidRPr="00EB0730">
        <w:rPr>
          <w:rFonts w:ascii="Times New Roman" w:hAnsi="Times New Roman" w:cs="Times New Roman"/>
          <w:szCs w:val="26"/>
        </w:rPr>
        <w:t>“Davacı vekili dava dilekçesinde özetle; müvekkili ile davalı şirket arasında yapılan enerji tedarik sözleşmesi uyarınca davalıdan elektrik enerjisi satın aldığı, müvekkiline ait 00004890310, 00004890320, 4890320, 00004890330, 00004890340, 00004890350, 00004890360 abone numaraları ve varsa tespit edemedikleri diğer abone numaralarına ait enerji satımından kaynaklı bir kısım haksız ve hukuka aykırı tahsil edilen fatura bedellerinin mevcut olduğunu, müvekkili şirketten kayıp kaçak, dağıtım bedeli, iletim bedeli, perakende satış bedeli, sayaç okuma bedeli ve açma kapama bedeli gibi bedellerin tahsil edilmesinin usul, yasaya ve hukuk devleti ilkesine açıkça aykırı olduğunu haksız şekilde tahsil edilen bu bedellerin davalılardan alınarak davacı müvekkiline verilmesini, Yargıtay 3. Hukuk Dairesinin 2015/2361 esas, 2016/2184 karar sayılı ilamında elektrik şirketlerinin EPDK kurul kararları ve tebliğleri çerçevesinde elektrik kullanan abonelerin faturalarına yansıtarak aldıkları kayıp kaçak, perakende satış hizmeti, iletim sistemi kullanım ve dağıtım bedellerinin elektrik enerjisi kullananlara(sanayi, ticari ve mesken abonelerine) aktif tüketim bedeli dışında ek bir mali yük ve külfet getirdiğini, Anayasanın 73. maddesi gereği vergi, resim, harç vb mali yükümlülüklerin kanunla koyulacağı, değiştirileceği veya kaldırılacağının düzenlendiğini, elektrik faturalarına yansıtılan %2 TRT payının da kanunla getirildiği ve kanunun verdiği açık ve şeffaf yetkiye dayanarak tahsil edilmediğini, EPDK kurul kararları ve tebliğleri gereğince alınan bu bedellerin kanunla konulup değiştirilebileceği, kaldırılacağı, ayrıca Elektrik Piyasası Kanununun düşük maliyetli enerji temini ve şeffaf bir elektrik enerjisi piyasası oluşturulması ilkelerine uygun düşmediğini, bu hususun Yargıtay Hukuk Genel Kurulunun 2013/7-2454 esas 2014/679 karar sayılı 21.05.2014 tarihli kararında tereddüte yer bırakmayacak şekilde hükme bağlandığını, faturalar incelendiğinde sözleşme ceza bedeli adı altında olağan dışı bir kalemin yer aldığının görüldüğünü, hukuk dışı tahsil edilen bu miktarların faturalandırılarak KDV matrahına dahil edilmesinin kabul edilemez olduğunu, enerji şirketlerinin müşterilerine ait müşteri numaralarını bilgisi dışında değiştirdiklerinin bilindiğini belirterek fazlaya ilişkin hakları saklı kalmak üzere davalılar tarafından dava tarihinden geriye doğru müvekkilinden doğmuş ve haksız olarak tahsil edilen 2.000,00.-TL kayıp kaçak, 2.000,00.-TL dağıtım bedeli, 1.000,00.-TL iletim bedeli, 10,00.-TL sözleşme ceza bedeli kısmının davalılardan tahsili ile alacağın müvekkili şirketten tahsil edildiği günden itibaren işleyecek avans faiz oranları ile davalılardan müştereken ve müteselsilen müvekkiline ödenmesine, bakiye kısmının alacağının müvekkili şirketten tahsil edildiği günden itibaren işleyecek avans faiz oranları ile davalılardan müştereken ve müteselsilen ödenmesi gerektiğinin tespitine karar verilmesini talep ve dava etmiştir.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EB0730">
        <w:rPr>
          <w:rStyle w:val="Gvdemetni2"/>
          <w:rFonts w:ascii="Times New Roman" w:hAnsi="Times New Roman" w:cs="Times New Roman"/>
          <w:sz w:val="24"/>
          <w:szCs w:val="26"/>
        </w:rPr>
        <w:t>Davalı Akdeniz Elektrik Dağıtım A.Ş vekili cevap dilekçesi ile özetle</w:t>
      </w:r>
      <w:r w:rsidRPr="00EB0730">
        <w:rPr>
          <w:rFonts w:ascii="Times New Roman" w:hAnsi="Times New Roman" w:cs="Times New Roman"/>
          <w:szCs w:val="26"/>
        </w:rPr>
        <w:t>; müvekkili şirket aleyhine açılan davaların Türkiye Elektrik İletim A.Ş, Maliye Bakanlığı ve Enerji Piyasası Düzenleme Kurumu’na ihbar edilmesinin gerektiğini, davacının faize ilişkin isteminin kabul edilebilir olmadığını, kayıp kaçak bedeli katma değer vergisinin iadesi indirim konusu yapılan mükellefler için iadesi konusu yapılması 3065 sayılı KDV Kanunu uygulamalarına göre yerinde olmadığını, zaman aşımı yönünden sebepsiz zenginleşme için öngörülen 2 yıllık zamanaşımı süresinin geçtiğini, davacının elektrik enerjisini Gates Elektrik Enerjisi Toptan Satış A.Ş’den satın aldığını, müvekkili şirket ile herhangi bir sözleşmesinin bulunmadığını, davacının ancak elektrik satın aldığı elektrik şirketine karşı dava açması gerektiğini, müvekkili şirketin sözleşmesel alacak olarak talep edilen bu bedelin bakımından sözleşmenin tarafı dahi olmadığında hiçbir şekilde sorumluluğunun bulunmadığını belirterek hukuki dayanaktan yoksun olan davanın reddine karar verilmesini talep etmiştir.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EB0730">
        <w:rPr>
          <w:rStyle w:val="Gvdemetni2"/>
          <w:rFonts w:ascii="Times New Roman" w:hAnsi="Times New Roman" w:cs="Times New Roman"/>
          <w:sz w:val="24"/>
          <w:szCs w:val="26"/>
        </w:rPr>
        <w:t>Davalı Gates Enerji Ticaret A.Ş vekili cevap dilekçesi ile,</w:t>
      </w:r>
      <w:r w:rsidRPr="00EB0730">
        <w:rPr>
          <w:rFonts w:ascii="Times New Roman" w:hAnsi="Times New Roman" w:cs="Times New Roman"/>
          <w:szCs w:val="26"/>
        </w:rPr>
        <w:t xml:space="preserve"> davacı ile dilekçesinde ayrıntısı belirtilen aboneliklere ait tüketim tesislerine aktif elektrik enerjisi satılması ve yapılan tüketimin faturalandırılması amacıyla müvekkili şirket ile 04.06.2015 tarihli elektrik enerjisi satış sözleşmesi imzalandığını, sözleşmenin tarafının davacı ile Gates Enerji Ticaret A.Ş olup, </w:t>
      </w:r>
      <w:r w:rsidRPr="00EB0730">
        <w:rPr>
          <w:rFonts w:ascii="Times New Roman" w:hAnsi="Times New Roman" w:cs="Times New Roman"/>
          <w:szCs w:val="26"/>
        </w:rPr>
        <w:lastRenderedPageBreak/>
        <w:t>davanın Gates Elektrik Enerjisi Toptan Satış A.Ş ile ilgisinin bulunmadığını, davacının müvekkili şirketten tahsil edilen dağıtım bedeli, sayaç okumada bedeli, perakende satış hizmet bedeli, iletim bedeli ve açma kapama bedeli ve diğer bedellerin davacıya iadesine yönelik talebi mesnetsiz olduğunu, davanın yetkili mahkemede açılmadığını, sözleşmede uyuşmazlıkların çözümünde yalnızca Ankara Mahkemeleri yetkili kılındığından davanın yetkisiz mahkemede açıldığını, davacının belirsiz alacak davası açtığını, fakat talep ettiği bedellerin dava dilekçesinin ekine koyduğu faturalardan açıkça ve tek tek anlaşılması nedeniyle belirli alacak davası açması gerektiğini, davacının taleplerinin dürüstlük kuralı ve sözleşmenin bağlayıcılığı ilkesine aykırı olduğunu, davacının taleplerinin iadesi istenen bedellerin enerji piyasası mevzuatı hükümleri ile bağdaşmadığını, davacının sözleşme süresi boyunca müvekkili şirkete karşı ödeme yükümlülüklerini zamanında ve gereği gibi yerine getirmediğini, davacı adına ödenmeyen alacaklarının tahsili yönünden Ankara 26. İcra Müdürlüğünün 2015/28024 esas sayılı dosyası ile icra takibine geçtiklerini,</w:t>
      </w:r>
      <w:r w:rsidRPr="00EB0730">
        <w:rPr>
          <w:rFonts w:ascii="Times New Roman" w:hAnsi="Times New Roman" w:cs="Times New Roman"/>
          <w:szCs w:val="26"/>
          <w:vertAlign w:val="subscript"/>
        </w:rPr>
        <w:t xml:space="preserve"> </w:t>
      </w:r>
      <w:r w:rsidRPr="00EB0730">
        <w:rPr>
          <w:rFonts w:ascii="Times New Roman" w:hAnsi="Times New Roman" w:cs="Times New Roman"/>
          <w:szCs w:val="26"/>
        </w:rPr>
        <w:t>davacının kötü niyetli olduğunu belirterek yetki itirazının kabulü ile davada Ankara Mahkemelerinin yetkili olduğuna, belirsiz alacak olarak açılan davanın reddine karar verilmesini talep etmiştir.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EB0730">
        <w:rPr>
          <w:rStyle w:val="Gvdemetni2"/>
          <w:rFonts w:ascii="Times New Roman" w:hAnsi="Times New Roman" w:cs="Times New Roman"/>
          <w:sz w:val="24"/>
          <w:szCs w:val="26"/>
        </w:rPr>
        <w:t>Davacı vekili 29.07.2016 tarihli dilekçesi ile</w:t>
      </w:r>
      <w:r w:rsidRPr="00EB0730">
        <w:rPr>
          <w:rFonts w:ascii="Times New Roman" w:hAnsi="Times New Roman" w:cs="Times New Roman"/>
          <w:szCs w:val="26"/>
        </w:rPr>
        <w:t xml:space="preserve"> “6446 Sayılı Elektrik Piyasası Kanununun muhtelif maddelerinde değişik ve bu kanuna getirilen 6719 Sayılı Elektrik Piyasası Kanunu ile bazı Kanunlarda Değişiklik Yapılmasına Dair Kanunu’nun” 21 maddesi ile 6446 Sayılı Kanunun 17 maddesine 10. fıkra olarak eklenen 21/10 maddesi ile 6446 Sayılı Kanuna geçici 20 maddenin eklenmesine ilişkin 26. maddelerinin Anayasa’ya aykırılığı iddiasında bulunmuştur.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EB0730">
        <w:rPr>
          <w:rStyle w:val="Gvdemetni2"/>
          <w:rFonts w:ascii="Times New Roman" w:hAnsi="Times New Roman" w:cs="Times New Roman"/>
          <w:sz w:val="24"/>
          <w:szCs w:val="26"/>
        </w:rPr>
        <w:t>Dava;</w:t>
      </w:r>
      <w:r w:rsidRPr="00EB0730">
        <w:rPr>
          <w:rFonts w:ascii="Times New Roman" w:hAnsi="Times New Roman" w:cs="Times New Roman"/>
          <w:szCs w:val="26"/>
        </w:rPr>
        <w:t xml:space="preserve"> taraflar arasındaki varlığı uyuşmazlık konusu olmayan elektrik enerjisi satışına ilişkin sözleşme nedeniyle davalının davacıya temin ettiği elektrik enerjisi tüketim bedeli ile ilgili faturalarda davacı aboneye tahakkuk ettirilip, fatura içeriği ile kayıp kaçak bedeli adı altında yapılan tahsilatların iadesi istemine ilişkin olup, uyuşmazlık konusu tahsil edilen bu bedellerin yasal dayanağının bulunup bulunmadığı ve davalı dağıtım şirketinden iadesinin istenip istenemeyeceği konusundadır.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Davalı taraf, kayıp kaçak bedellerinin EPDK’nun kararlarına dayalı olarak tahsil edildiğini, EPDK’nun kararı iptal edilmedikçe kayıp kaçak bedeli tahsilinin haklı olduğunu savunmuştur. Elektrik dağıtım hizmetlerinin tekel niteliğinde yürütülen hizmet olduğu yargı kararları ile de kabul edilmiş olup, tacir olsa dahi tüketicilerin alternatif elektrik aboneliği sağlama ve hizmet alma olanağı bulunmamaktadır. Yargıtay Hukuk Genel Kurulu ve Yargıtay 3. Hukuk Dairesinin istikrar kazanmış kararlarında 6446 sayılı yasanın verdiği yetkiye dayanılarak çıkarılan EPDK karar ve tebliğlerine göre alınan kayıp-kaçak bedeli, sayaç okuma bedeli, perakende satış hizmet bedeli, iletim sistemi kullanım ve dağıtım bedellerinin birer mali yükümlülük olduğu, bu yükümlülüklerin yasa ile konulmaları gerektiği, ayrıca hangi hizmetin karşılığında ne bedel ödenmesinin bilinmesi gerektiği, başka kişiler tarafından kaçak kullanmak suretiyle kullanılan elektrik bedellerinin kurallara uygun davranan abonelerden tahsil yoluna gidilmesinin hukuk devleti ve adalet düşüncesi ile bağdaşmadığı tespitinde bulunmuştur.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 xml:space="preserve">Konuya ilişkin yasal düzenlemeler incelendiğinde; 17.06.2016 tarih ve 29745 Sayılı Resmi Gazetede yayınlanarak yürürlüğe giren 6719 Sayılı Elektrik Piyasası Kanunu île Bazı Kanunlarda Değişiklik Yapılmasına Dair Kanunun 21. Maddesi ile 6446 Sayılı Kanunun 17. Maddesine 10 fıkra olarak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26. maddesi ile de; 6446 Sayılı Elektrik Piyasası Kanuna </w:t>
      </w:r>
      <w:r w:rsidRPr="00EB0730">
        <w:rPr>
          <w:rFonts w:ascii="Times New Roman" w:hAnsi="Times New Roman" w:cs="Times New Roman"/>
          <w:szCs w:val="26"/>
        </w:rPr>
        <w:lastRenderedPageBreak/>
        <w:t>geçici 20. madde eklenmiş, 6446 Sayılı Yasaya eklenen geçici 20. maddeye göre; “Kurul kararlarına uygun şekilde tahakkuk ettirilmiş dağıtım, sayaç okuma, perakende satış hizmeti, iletim ve kayıp-kaçak bedelleri ile ilgili olarak açılmış olan her türlü ilamsız icra takibi, dava ve başvurular hakkında 17 nci madde hükümleri uygulanır.” hükümlerinin eklendiği görülmüştür.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Geçici 20. maddedeki düzenleme, 6719 sayılı Yasanın yürürlüğe girmesinden önce Enerji Piyasası Düzenleme Kurulunca alman kararlara göre tahakkuk ve tahsil edilen faturalardan dolayı, bu tahakkuk ve tahsillerin Enerji Piyasası Düzenleme Kurulunun kararlarına uygun olduğu kabul edilerek yasanın uygulamasını devam eden dava ve bundan sonra açılacak davalar içinde uygulama yolunu açmıştır.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Mahkememize göre bu düzenlemeler T.C. Anayasası’nın 5., 9., 11., 36.,  73. ve 125/4. maddelerine açıkça aykırıdır.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Anayasamızın 2. maddesine göre “Türkiye Cumhuriyeti laik, demokratik hukuk devletidir.” Hukuk Devleti; insan haklarına dayanan bu hak ve özgürlükleri koruyup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kaldıran devlettir. Adil yargılanma hakkı Anayasalarda açıkça tanınsın veya tanınmasın Anayasamızın 2. maddesinde yer alan hukuk kavramı bu temel hakkın içeriğini dolduran haklar ve ilkeleri hukuk sistemlerinin bir parçası haline getirmeyi zorunlu kılmaktadır.</w:t>
      </w:r>
      <w:r>
        <w:rPr>
          <w:rFonts w:ascii="Times New Roman" w:hAnsi="Times New Roman" w:cs="Times New Roman"/>
          <w:szCs w:val="26"/>
        </w:rPr>
        <w:t xml:space="preserve"> </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Anayasamızın 5. maddesine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EB0730" w:rsidRDefault="00EB0730" w:rsidP="00EB0730">
      <w:pPr>
        <w:pStyle w:val="Gvdemetni4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b w:val="0"/>
          <w:sz w:val="24"/>
          <w:szCs w:val="26"/>
        </w:rPr>
      </w:pPr>
      <w:r>
        <w:rPr>
          <w:rStyle w:val="Gvdemetni4KalnDeil"/>
          <w:rFonts w:ascii="Times New Roman" w:hAnsi="Times New Roman" w:cs="Times New Roman"/>
          <w:sz w:val="24"/>
          <w:szCs w:val="26"/>
        </w:rPr>
        <w:t xml:space="preserve"> </w:t>
      </w:r>
      <w:r w:rsidRPr="00EB0730">
        <w:rPr>
          <w:rStyle w:val="Gvdemetni4KalnDeil"/>
          <w:rFonts w:ascii="Times New Roman" w:hAnsi="Times New Roman" w:cs="Times New Roman"/>
          <w:sz w:val="24"/>
          <w:szCs w:val="26"/>
        </w:rPr>
        <w:t xml:space="preserve">Anayasamızın 9. maddesinde </w:t>
      </w:r>
      <w:r w:rsidRPr="00EB0730">
        <w:rPr>
          <w:rFonts w:ascii="Times New Roman" w:hAnsi="Times New Roman" w:cs="Times New Roman"/>
          <w:b w:val="0"/>
          <w:sz w:val="24"/>
          <w:szCs w:val="26"/>
        </w:rPr>
        <w:t>“Yargı yetkisi, Türk Milleti adına bağımsız mahkemelerce kullanılır.”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Anayasamızın 11. maddesinde “Anayasa hükümleri, yasama, yürütme ve yargı organlarını, idare makamlarını ve diğer kuruluş ve kişileri bağlayan temel hukuk kurallarıdır.”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Anayasamızın 36. maddesinde (Değişik:</w:t>
      </w:r>
      <w:r>
        <w:rPr>
          <w:rFonts w:ascii="Times New Roman" w:hAnsi="Times New Roman" w:cs="Times New Roman"/>
          <w:szCs w:val="26"/>
        </w:rPr>
        <w:t xml:space="preserve"> </w:t>
      </w:r>
      <w:r w:rsidRPr="00EB0730">
        <w:rPr>
          <w:rFonts w:ascii="Times New Roman" w:hAnsi="Times New Roman" w:cs="Times New Roman"/>
          <w:szCs w:val="26"/>
        </w:rPr>
        <w:t>3/10/2001-4709/14 md.) “Herkes meşrû vasıta ve yollardan faydalanmak suretiyle yargı mercileri önünde davacı veya davalı olarak iddia ve savunma ile adil yargılanma hakkına sahiptir. Hiçbir mahkeme, görev ve yetkisi içindeki davaya bakmaktan kaçınamaz.”</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Anayasanın 40. maddesine göre; “Anayasa ile tanınmış hak ve hürriyetleri ihlal edilen herkes, yetkili makama geciktirilmeden başvurma imkanının sağlanmasını isteme hakkına sahiptir.”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 xml:space="preserve">TC Anayasası’nın 73. maddesinde; “Herkes, kamu giderlerini karşılamak üzere, malî gücüne göre, vergi ödemekle yükümlüdür. Vergi yükünün adaletli ve dengeli dağılımı maliye </w:t>
      </w:r>
      <w:r w:rsidRPr="00EB0730">
        <w:rPr>
          <w:rFonts w:ascii="Times New Roman" w:hAnsi="Times New Roman" w:cs="Times New Roman"/>
          <w:szCs w:val="26"/>
        </w:rPr>
        <w:lastRenderedPageBreak/>
        <w:t>politikasının sosyal amacıdır. Vergi, resim, harç ve benzeri malî yükümlülükler kanunla konulur, değiştirilir veya kaldırılır.”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Anayasa’nın değişik 125/4 maddesine göre “Yargı yetkisi, idari eylem ve işlemlerin hukuka uygunluğunun denetimi ile sınırlı olup, hiçbir suretle yerindelik denetimi şeklinde kullanılamaz. Yürütme görevinin kanunlarda gösteren şekil ve esaslara uygun olarak yerine getirilmesini kısıtlayacak, idari eylem ve işlem niteliğinde veya takdir yetkisini kaldıracak şekilde yargı kararı verilemez”.</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Bu hükümlerle güvence altına alınan dava yolu ile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karsı kendisini savunabilmesinin ya da maruz kaldığı haksız bir uygulama ve işleme karşı haklılığını ileri sürüp kanıtlayabilmesinin en etkili ve güvenceli yolu yargı mercileri önünde dava hakkı tanınması adil yargılamanın ön koşulunu oluşturur. Kendisinden haksız bir tahsilat yapılmasından dolayı açılmış bir davanın çıkarılan bir yasa ile engellenmesi hak arama özgürlüğünü engelleyici nitelik taşımaktadır.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6719 Sayılı Yasanın 21. maddesi yürürlüğe girdiği 17.06.2016 tarihinden sonrası ve geçici 20 maddeyi ön gören 26. maddesi de 20.06.2016 tarihine kadar açılan takip ve davalar ile başvuruları kapsamaktadır. Mahkememize göre her iki düzenleme de hukuka ve Anayasaya aykırıdır. Kanunun 21. maddesi yargının hukukilik denetimi yetkisini kısıtlamakta ve yargı yetkisini sadece Enerji Piyasası Denetleme Kurumu’nun düzenleyici işlemleri ile tüketiciden alınacak bedellerin uygunluğunu, bir anlamda yerindeliğini denetlemekle sınırlandırmaktadır. Kanun bu yönü ile yargının tüketiciye yüklenen elektrik enerjisi bedellerinde yer alan hukukun evrensel ilke ve esasları ile bunları koruyan anayasaya aykırılık taleplerini yani elektrik faturasında yer alan unsurları denetleyip hukuka aykırı olanları iptal etmesi varsa tüketiciden haksız alınanların iadesini engellemeyi amaçlamıştır. Yasa, bu nedenle Anayasa’nın 125/4 maddesine aykırıdır.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6719 Sayılı Kanunun 21. ve 26. maddeleri ile anayasanın 36. maddesinde güvence altına alınan hak arama hürriyeti de engellenmektedir. Bu durum hukuk devleti ilkesini güvence altına alan Anayasa’nın 2. maddesinde düzenlenen hak arama hürriyetini koruyan 36/1 maddesine de aykırıdır. Yargı yetkisinin bir şekilde kısıtlanması kuvvetler ayrılığı ilkesine müdahale niteliği taşıdığından Anayasanın Yargı Yetkisi başlıklı 9. maddesine de aykırıdır.</w:t>
      </w:r>
      <w:r>
        <w:rPr>
          <w:rFonts w:ascii="Times New Roman" w:hAnsi="Times New Roman" w:cs="Times New Roman"/>
          <w:szCs w:val="26"/>
        </w:rPr>
        <w:t xml:space="preserve"> </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Kanunun 26. maddesi ile geriye dönük olarak açılan davalar ve başvuruları da kapsayan geçici 20. maddede “Aleyhe geriye yürümezlik ilkesini ihlal ettiği için hukuka ve Anayasa’ya aykırıdır.”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EB0730">
        <w:rPr>
          <w:rFonts w:ascii="Times New Roman" w:hAnsi="Times New Roman" w:cs="Times New Roman"/>
          <w:szCs w:val="26"/>
        </w:rPr>
        <w:t>Sonuç olarak 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Maddelerinin T.C. Anayasasının 2., 5., 9., 11., 36., 73. ve 125/4. maddelerine açıkça aykırıdır.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lastRenderedPageBreak/>
        <w:t xml:space="preserve"> </w:t>
      </w:r>
      <w:r w:rsidRPr="00EB0730">
        <w:rPr>
          <w:rStyle w:val="Gvdemetni2"/>
          <w:rFonts w:ascii="Times New Roman" w:hAnsi="Times New Roman" w:cs="Times New Roman"/>
          <w:sz w:val="24"/>
          <w:szCs w:val="26"/>
        </w:rPr>
        <w:t xml:space="preserve">Açıklanan nedenlerle ve bir davaya bakmakta olan mahkemenin </w:t>
      </w:r>
      <w:r w:rsidRPr="00EB0730">
        <w:rPr>
          <w:rFonts w:ascii="Times New Roman" w:hAnsi="Times New Roman" w:cs="Times New Roman"/>
          <w:szCs w:val="26"/>
        </w:rPr>
        <w:t>uygulanacak bir kanunun veya kanun hükmünde kararname hükümlerini Anayasaya aykırı görmesi durumunda gerekçeli kararı ile Anayasa Mahkemesine başvurması gerektiğini öngören Anayasa’nın 152. maddesi ve 6216 sayılı Anayasa Mahkemesinin Kuruluş ve Yargılama Usulleri hakkında Kanunun 40. maddesi gereğince 6446 sayılı Elektrik Piyasası Kanununa, 6719 sayılı Yasa ile eklenen geçici 20. maddenin “(1) Kurul kararlarına uygun şekilde tahakkuk ettirilmiş, dağıtım, sayaç okuma, perakende satış hizmeti, iletim ve kayıp kaçak bedelleri ile ilgili olarak açılmış olan her türlü ilamsız icra takibi, dava ve başvurular hakkında 17 nci madde hükümleri uygulanır” düzenlemesi ile bu maddenin yollaması ile 6446 sayılı Kanunun 17. maddesinin birinci, üçüncü ve dördüncü fıkraları ile altıncı fıkrasının (a, c, d, f) bentlerinin değiştirilmesi ve aynı maddeye fıkra eklenmesi hakkındaki 21. maddesinin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fıkrasının T.C. Anayasası’nın 2., 5., 9., 11., 36. ve 73. maddelerine aykırı olduğu görüşü ile yasa maddesinin iptali için ANAYASA MAHKEMESİNE başvurulmasına, dosyanın onaylı bir örneğinin Anayasa Mahkemesine gönderilmesine, yargılamanın Anayasa Mahkemesince yapılan yargılamada verilecek karara kadar bekletilmesine, Anayasa Mahkemesince dosyanın eksiksiz olarak ulaşmasından itibaren 5 ay içerisinde karar vermemesi halinde yargılamaya devam edilip, yürürlükteki yasa hükümlerine göre yargılama yapılıp karar verilmesine karar verilmiştir.</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Kaln"/>
          <w:rFonts w:ascii="Times New Roman" w:hAnsi="Times New Roman" w:cs="Times New Roman"/>
          <w:sz w:val="24"/>
          <w:szCs w:val="26"/>
        </w:rPr>
        <w:t xml:space="preserve"> </w:t>
      </w:r>
      <w:r w:rsidRPr="00EB0730">
        <w:rPr>
          <w:rStyle w:val="Gvdemetni2Kaln"/>
          <w:rFonts w:ascii="Times New Roman" w:hAnsi="Times New Roman" w:cs="Times New Roman"/>
          <w:sz w:val="24"/>
          <w:szCs w:val="26"/>
        </w:rPr>
        <w:t xml:space="preserve">SONUÇ VE İSTEM </w:t>
      </w:r>
      <w:r>
        <w:rPr>
          <w:rStyle w:val="Gvdemetni2"/>
          <w:rFonts w:ascii="Times New Roman" w:hAnsi="Times New Roman" w:cs="Times New Roman"/>
          <w:sz w:val="24"/>
          <w:szCs w:val="26"/>
        </w:rPr>
        <w:t xml:space="preserve"> </w:t>
      </w:r>
      <w:r w:rsidRPr="00EB0730">
        <w:rPr>
          <w:rStyle w:val="Gvdemetni2"/>
          <w:rFonts w:ascii="Times New Roman" w:hAnsi="Times New Roman" w:cs="Times New Roman"/>
          <w:sz w:val="24"/>
          <w:szCs w:val="26"/>
        </w:rPr>
        <w:t>: Yukarıda açıklanan nedenlerle;</w:t>
      </w:r>
    </w:p>
    <w:p w:rsidR="00EB0730" w:rsidRDefault="00EB0730" w:rsidP="00EB0730">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EB0730">
        <w:rPr>
          <w:rStyle w:val="Gvdemetni2"/>
          <w:rFonts w:ascii="Times New Roman" w:hAnsi="Times New Roman" w:cs="Times New Roman"/>
          <w:sz w:val="24"/>
          <w:szCs w:val="26"/>
        </w:rPr>
        <w:t xml:space="preserve">6719 Sayılı Yasanın 26. maddesi ile 6446 Sayılı Elektrik Piyasası </w:t>
      </w:r>
      <w:r w:rsidRPr="00EB0730">
        <w:rPr>
          <w:rFonts w:ascii="Times New Roman" w:hAnsi="Times New Roman" w:cs="Times New Roman"/>
          <w:szCs w:val="26"/>
        </w:rPr>
        <w:t>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maddesi ile 6446 Sayılı Yasanın 17. maddesine eklenen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düzenlemelerinin Anayasanın 2., 5., 9., 11., 36., 73. ve 125/4. maddelerine aykırı olduğunun tespiti ile iptaline karar verilmesi arz olunur.”</w:t>
      </w:r>
    </w:p>
    <w:p w:rsidR="00CE1FB9" w:rsidRPr="00EB0730" w:rsidRDefault="00CE1FB9" w:rsidP="00EB0730">
      <w:pPr>
        <w:widowControl/>
        <w:spacing w:before="100" w:beforeAutospacing="1" w:after="100" w:afterAutospacing="1"/>
        <w:ind w:firstLine="709"/>
        <w:jc w:val="both"/>
        <w:rPr>
          <w:rFonts w:ascii="Times New Roman" w:hAnsi="Times New Roman" w:cs="Times New Roman"/>
        </w:rPr>
      </w:pPr>
    </w:p>
    <w:sectPr w:rsidR="00CE1FB9" w:rsidRPr="00EB0730" w:rsidSect="00EB0730">
      <w:headerReference w:type="default" r:id="rId6"/>
      <w:footerReference w:type="even" r:id="rId7"/>
      <w:footerReference w:type="default" r:id="rId8"/>
      <w:headerReference w:type="first" r:id="rId9"/>
      <w:pgSz w:w="11909"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F6" w:rsidRDefault="003C3EF6" w:rsidP="00EB0730">
      <w:r>
        <w:separator/>
      </w:r>
    </w:p>
  </w:endnote>
  <w:endnote w:type="continuationSeparator" w:id="0">
    <w:p w:rsidR="003C3EF6" w:rsidRDefault="003C3EF6" w:rsidP="00EB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30" w:rsidRDefault="00EB0730" w:rsidP="001B24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0730" w:rsidRDefault="00EB0730" w:rsidP="00EB07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30" w:rsidRPr="00EB0730" w:rsidRDefault="00EB0730" w:rsidP="001B241F">
    <w:pPr>
      <w:pStyle w:val="Altbilgi"/>
      <w:framePr w:wrap="around" w:vAnchor="text" w:hAnchor="margin" w:xAlign="right" w:y="1"/>
      <w:rPr>
        <w:rStyle w:val="SayfaNumaras"/>
        <w:rFonts w:ascii="Times New Roman" w:hAnsi="Times New Roman" w:cs="Times New Roman"/>
      </w:rPr>
    </w:pPr>
    <w:r w:rsidRPr="00EB0730">
      <w:rPr>
        <w:rStyle w:val="SayfaNumaras"/>
        <w:rFonts w:ascii="Times New Roman" w:hAnsi="Times New Roman" w:cs="Times New Roman"/>
      </w:rPr>
      <w:fldChar w:fldCharType="begin"/>
    </w:r>
    <w:r w:rsidRPr="00EB0730">
      <w:rPr>
        <w:rStyle w:val="SayfaNumaras"/>
        <w:rFonts w:ascii="Times New Roman" w:hAnsi="Times New Roman" w:cs="Times New Roman"/>
      </w:rPr>
      <w:instrText xml:space="preserve">PAGE  </w:instrText>
    </w:r>
    <w:r w:rsidRPr="00EB073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B0730">
      <w:rPr>
        <w:rStyle w:val="SayfaNumaras"/>
        <w:rFonts w:ascii="Times New Roman" w:hAnsi="Times New Roman" w:cs="Times New Roman"/>
      </w:rPr>
      <w:fldChar w:fldCharType="end"/>
    </w:r>
  </w:p>
  <w:p w:rsidR="001B0DF5" w:rsidRPr="00EB0730" w:rsidRDefault="003C3EF6" w:rsidP="00EB0730">
    <w:pPr>
      <w:pStyle w:val="Altbilgi"/>
      <w:ind w:right="360"/>
      <w:jc w:val="center"/>
      <w:rPr>
        <w:rFonts w:ascii="Times New Roman" w:hAnsi="Times New Roman" w:cs="Times New Roman"/>
      </w:rPr>
    </w:pPr>
  </w:p>
  <w:p w:rsidR="001B0DF5" w:rsidRPr="00EB0730" w:rsidRDefault="003C3EF6">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F6" w:rsidRDefault="003C3EF6" w:rsidP="00EB0730">
      <w:r>
        <w:separator/>
      </w:r>
    </w:p>
  </w:footnote>
  <w:footnote w:type="continuationSeparator" w:id="0">
    <w:p w:rsidR="003C3EF6" w:rsidRDefault="003C3EF6" w:rsidP="00EB0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30" w:rsidRPr="0075608F" w:rsidRDefault="00EB0730" w:rsidP="00EB0730">
    <w:pPr>
      <w:widowControl/>
      <w:shd w:val="clear" w:color="auto" w:fill="FFFFFF"/>
      <w:jc w:val="both"/>
      <w:rPr>
        <w:rFonts w:ascii="Times New Roman" w:eastAsia="Times New Roman" w:hAnsi="Times New Roman" w:cs="Times New Roman"/>
        <w:b/>
        <w:bCs/>
        <w:szCs w:val="26"/>
      </w:rPr>
    </w:pPr>
    <w:r w:rsidRPr="0075608F">
      <w:rPr>
        <w:rFonts w:ascii="Times New Roman" w:eastAsia="Times New Roman" w:hAnsi="Times New Roman" w:cs="Times New Roman"/>
        <w:b/>
        <w:bCs/>
        <w:szCs w:val="26"/>
      </w:rPr>
      <w:t>Esas Sayısı      :  2016/152</w:t>
    </w:r>
  </w:p>
  <w:p w:rsidR="001B0DF5" w:rsidRPr="00EB0730" w:rsidRDefault="00EB0730" w:rsidP="00EB0730">
    <w:pPr>
      <w:pStyle w:val="stbilgi"/>
    </w:pPr>
    <w:r w:rsidRPr="0075608F">
      <w:rPr>
        <w:rFonts w:ascii="Times New Roman" w:eastAsia="Times New Roman" w:hAnsi="Times New Roman" w:cs="Times New Roman"/>
        <w:b/>
        <w:bCs/>
        <w:szCs w:val="26"/>
      </w:rPr>
      <w:t>Karar Sayısı   :  2016/142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456" w:rsidRDefault="003C3EF6">
    <w:pPr>
      <w:pStyle w:val="stbilgi"/>
    </w:pPr>
  </w:p>
  <w:p w:rsidR="00D57456" w:rsidRPr="00D57456" w:rsidRDefault="003C3EF6">
    <w:pPr>
      <w:pStyle w:val="stbilgi"/>
      <w:rPr>
        <w:i/>
      </w:rPr>
    </w:pPr>
    <w:r w:rsidRPr="00D57456">
      <w:rPr>
        <w:i/>
      </w:rPr>
      <w:t>Esas Sayısı  : 2016/152</w:t>
    </w:r>
  </w:p>
  <w:p w:rsidR="00D57456" w:rsidRPr="00D57456" w:rsidRDefault="003C3EF6">
    <w:pPr>
      <w:pStyle w:val="stbilgi"/>
      <w:rPr>
        <w:i/>
      </w:rPr>
    </w:pPr>
    <w:r w:rsidRPr="00D57456">
      <w:rPr>
        <w:i/>
      </w:rPr>
      <w:t>Karar Sayısı : 2016/142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30"/>
    <w:rsid w:val="003C3EF6"/>
    <w:rsid w:val="00CE1FB9"/>
    <w:rsid w:val="00EB07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0B496-C603-4BAC-8CD1-385C3102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0730"/>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0"/>
    <w:rsid w:val="00EB0730"/>
    <w:rPr>
      <w:b/>
      <w:bCs/>
      <w:sz w:val="21"/>
      <w:szCs w:val="21"/>
      <w:shd w:val="clear" w:color="auto" w:fill="FFFFFF"/>
    </w:rPr>
  </w:style>
  <w:style w:type="character" w:customStyle="1" w:styleId="Gvdemetni2">
    <w:name w:val="Gövde metni (2)"/>
    <w:basedOn w:val="VarsaylanParagrafYazTipi"/>
    <w:rsid w:val="00EB0730"/>
    <w:rPr>
      <w:b w:val="0"/>
      <w:bCs w:val="0"/>
      <w:i w:val="0"/>
      <w:iCs w:val="0"/>
      <w:smallCaps w:val="0"/>
      <w:strike w:val="0"/>
      <w:sz w:val="21"/>
      <w:szCs w:val="21"/>
      <w:u w:val="none"/>
    </w:rPr>
  </w:style>
  <w:style w:type="character" w:customStyle="1" w:styleId="Gvdemetni2Kaln">
    <w:name w:val="Gövde metni (2) + Kalın"/>
    <w:basedOn w:val="VarsaylanParagrafYazTipi"/>
    <w:rsid w:val="00EB0730"/>
    <w:rPr>
      <w:rFonts w:ascii="Arial Unicode MS" w:eastAsia="Arial Unicode MS" w:hAnsi="Arial Unicode MS" w:cs="Arial Unicode MS"/>
      <w:b/>
      <w:bCs/>
      <w:i w:val="0"/>
      <w:iCs w:val="0"/>
      <w:smallCaps w:val="0"/>
      <w:strike w:val="0"/>
      <w:color w:val="000000"/>
      <w:spacing w:val="0"/>
      <w:w w:val="100"/>
      <w:position w:val="0"/>
      <w:sz w:val="21"/>
      <w:szCs w:val="21"/>
      <w:u w:val="none"/>
      <w:lang w:val="tr-TR" w:eastAsia="tr-TR" w:bidi="tr-TR"/>
    </w:rPr>
  </w:style>
  <w:style w:type="character" w:customStyle="1" w:styleId="Gvdemetni4KalnDeil">
    <w:name w:val="Gövde metni (4) + Kalın Değil"/>
    <w:basedOn w:val="Gvdemetni4"/>
    <w:rsid w:val="00EB0730"/>
    <w:rPr>
      <w:rFonts w:ascii="Arial Unicode MS" w:eastAsia="Arial Unicode MS" w:hAnsi="Arial Unicode MS" w:cs="Arial Unicode MS"/>
      <w:b/>
      <w:bCs/>
      <w:color w:val="000000"/>
      <w:spacing w:val="0"/>
      <w:w w:val="100"/>
      <w:position w:val="0"/>
      <w:sz w:val="21"/>
      <w:szCs w:val="21"/>
      <w:shd w:val="clear" w:color="auto" w:fill="FFFFFF"/>
      <w:lang w:val="tr-TR" w:eastAsia="tr-TR" w:bidi="tr-TR"/>
    </w:rPr>
  </w:style>
  <w:style w:type="paragraph" w:customStyle="1" w:styleId="Gvdemetni40">
    <w:name w:val="Gövde metni (4)"/>
    <w:basedOn w:val="Normal"/>
    <w:link w:val="Gvdemetni4"/>
    <w:rsid w:val="00EB0730"/>
    <w:pPr>
      <w:shd w:val="clear" w:color="auto" w:fill="FFFFFF"/>
      <w:spacing w:line="288" w:lineRule="exact"/>
      <w:jc w:val="center"/>
    </w:pPr>
    <w:rPr>
      <w:rFonts w:asciiTheme="minorHAnsi" w:eastAsiaTheme="minorHAnsi" w:hAnsiTheme="minorHAnsi" w:cstheme="minorBidi"/>
      <w:b/>
      <w:bCs/>
      <w:color w:val="auto"/>
      <w:sz w:val="21"/>
      <w:szCs w:val="21"/>
      <w:lang w:eastAsia="en-US" w:bidi="ar-SA"/>
    </w:rPr>
  </w:style>
  <w:style w:type="paragraph" w:styleId="stbilgi">
    <w:name w:val="header"/>
    <w:basedOn w:val="Normal"/>
    <w:link w:val="stbilgiChar"/>
    <w:uiPriority w:val="99"/>
    <w:unhideWhenUsed/>
    <w:rsid w:val="00EB0730"/>
    <w:pPr>
      <w:tabs>
        <w:tab w:val="center" w:pos="4536"/>
        <w:tab w:val="right" w:pos="9072"/>
      </w:tabs>
    </w:pPr>
  </w:style>
  <w:style w:type="character" w:customStyle="1" w:styleId="stbilgiChar">
    <w:name w:val="Üstbilgi Char"/>
    <w:basedOn w:val="VarsaylanParagrafYazTipi"/>
    <w:link w:val="stbilgi"/>
    <w:uiPriority w:val="99"/>
    <w:rsid w:val="00EB073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EB0730"/>
    <w:pPr>
      <w:tabs>
        <w:tab w:val="center" w:pos="4536"/>
        <w:tab w:val="right" w:pos="9072"/>
      </w:tabs>
    </w:pPr>
  </w:style>
  <w:style w:type="character" w:customStyle="1" w:styleId="AltbilgiChar">
    <w:name w:val="Altbilgi Char"/>
    <w:basedOn w:val="VarsaylanParagrafYazTipi"/>
    <w:link w:val="Altbilgi"/>
    <w:uiPriority w:val="99"/>
    <w:rsid w:val="00EB0730"/>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EB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2632</Words>
  <Characters>15007</Characters>
  <Application>Microsoft Office Word</Application>
  <DocSecurity>0</DocSecurity>
  <Lines>125</Lines>
  <Paragraphs>35</Paragraphs>
  <ScaleCrop>false</ScaleCrop>
  <Company/>
  <LinksUpToDate>false</LinksUpToDate>
  <CharactersWithSpaces>17604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2019-03-12T13:46:00Z</dcterms:created>
  <dcterms:modified xsi:type="dcterms:W3CDTF">2019-03-12T13:52:00Z</dcterms:modified>
</cp:coreProperties>
</file>