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BA" w:rsidRDefault="001542BA" w:rsidP="001542BA">
      <w:pPr>
        <w:spacing w:before="100" w:beforeAutospacing="1" w:after="100" w:afterAutospacing="1" w:line="240" w:lineRule="auto"/>
        <w:ind w:firstLine="709"/>
        <w:jc w:val="both"/>
        <w:rPr>
          <w:rFonts w:ascii="Times New Roman" w:hAnsi="Times New Roman"/>
          <w:i/>
          <w:sz w:val="24"/>
          <w:szCs w:val="26"/>
        </w:rPr>
      </w:pPr>
      <w:r w:rsidRPr="001542BA">
        <w:rPr>
          <w:rFonts w:ascii="Times New Roman" w:hAnsi="Times New Roman"/>
          <w:i/>
          <w:sz w:val="24"/>
          <w:szCs w:val="26"/>
        </w:rPr>
        <w:t>“Anayasa’n</w:t>
      </w:r>
      <w:bookmarkStart w:id="0" w:name="_GoBack"/>
      <w:bookmarkEnd w:id="0"/>
      <w:r w:rsidRPr="001542BA">
        <w:rPr>
          <w:rFonts w:ascii="Times New Roman" w:hAnsi="Times New Roman"/>
          <w:i/>
          <w:sz w:val="24"/>
          <w:szCs w:val="26"/>
        </w:rPr>
        <w:t xml:space="preserve">ın 2. maddesi; </w:t>
      </w:r>
    </w:p>
    <w:p w:rsidR="001542BA" w:rsidRDefault="001542BA" w:rsidP="001542BA">
      <w:pPr>
        <w:spacing w:before="100" w:beforeAutospacing="1" w:after="100" w:afterAutospacing="1" w:line="240" w:lineRule="auto"/>
        <w:ind w:firstLine="709"/>
        <w:jc w:val="both"/>
        <w:rPr>
          <w:rFonts w:ascii="Times New Roman" w:hAnsi="Times New Roman"/>
          <w:i/>
          <w:sz w:val="24"/>
          <w:szCs w:val="26"/>
        </w:rPr>
      </w:pPr>
      <w:r w:rsidRPr="001542BA">
        <w:rPr>
          <w:rFonts w:ascii="Times New Roman" w:hAnsi="Times New Roman"/>
          <w:i/>
          <w:sz w:val="24"/>
          <w:szCs w:val="26"/>
        </w:rPr>
        <w:t>“Türkiye Cumhuriyeti, toplumun huzuru, milli dayanışma ve adalet anlayışı</w:t>
      </w:r>
      <w:r>
        <w:rPr>
          <w:rFonts w:ascii="Times New Roman" w:hAnsi="Times New Roman"/>
          <w:i/>
          <w:sz w:val="24"/>
          <w:szCs w:val="26"/>
        </w:rPr>
        <w:t xml:space="preserve"> </w:t>
      </w:r>
      <w:r w:rsidRPr="001542BA">
        <w:rPr>
          <w:rFonts w:ascii="Times New Roman" w:hAnsi="Times New Roman"/>
          <w:i/>
          <w:sz w:val="24"/>
          <w:szCs w:val="26"/>
        </w:rPr>
        <w:t>içinde, insan haklarına saygılı, Atatürk milliyetçiliğine bağlı, başlangıçta belirtilen temel</w:t>
      </w:r>
      <w:r>
        <w:rPr>
          <w:rFonts w:ascii="Times New Roman" w:hAnsi="Times New Roman"/>
          <w:i/>
          <w:sz w:val="24"/>
          <w:szCs w:val="26"/>
        </w:rPr>
        <w:t xml:space="preserve"> </w:t>
      </w:r>
      <w:r w:rsidRPr="001542BA">
        <w:rPr>
          <w:rFonts w:ascii="Times New Roman" w:hAnsi="Times New Roman"/>
          <w:i/>
          <w:sz w:val="24"/>
          <w:szCs w:val="26"/>
        </w:rPr>
        <w:t>ilkelere dayanan, demokratik, laik ve sosyal bir hukuk devletidir” hükmünü koymuş,</w:t>
      </w:r>
      <w:r>
        <w:rPr>
          <w:rFonts w:ascii="Times New Roman" w:hAnsi="Times New Roman"/>
          <w:i/>
          <w:sz w:val="24"/>
          <w:szCs w:val="26"/>
        </w:rPr>
        <w:t xml:space="preserve"> </w:t>
      </w:r>
      <w:r w:rsidRPr="001542BA">
        <w:rPr>
          <w:rFonts w:ascii="Times New Roman" w:hAnsi="Times New Roman"/>
          <w:i/>
          <w:sz w:val="24"/>
          <w:szCs w:val="26"/>
        </w:rPr>
        <w:t>Anayasanın 10. maddesinde ise,</w:t>
      </w:r>
    </w:p>
    <w:p w:rsidR="001542BA" w:rsidRDefault="001542BA" w:rsidP="001542BA">
      <w:pPr>
        <w:spacing w:before="100" w:beforeAutospacing="1" w:after="100" w:afterAutospacing="1" w:line="240" w:lineRule="auto"/>
        <w:ind w:firstLine="709"/>
        <w:jc w:val="both"/>
        <w:rPr>
          <w:rFonts w:ascii="Times New Roman" w:hAnsi="Times New Roman"/>
          <w:i/>
          <w:sz w:val="24"/>
          <w:szCs w:val="26"/>
        </w:rPr>
      </w:pPr>
      <w:r w:rsidRPr="001542BA">
        <w:rPr>
          <w:rFonts w:ascii="Times New Roman" w:hAnsi="Times New Roman"/>
          <w:i/>
          <w:sz w:val="24"/>
          <w:szCs w:val="26"/>
        </w:rPr>
        <w:t>“Herkes dil, ırk, renk, cinsiyet, siyasi düşünce, felsefi inanç, din, mezhep ve</w:t>
      </w:r>
      <w:r>
        <w:rPr>
          <w:rFonts w:ascii="Times New Roman" w:hAnsi="Times New Roman"/>
          <w:i/>
          <w:sz w:val="24"/>
          <w:szCs w:val="26"/>
        </w:rPr>
        <w:t xml:space="preserve"> </w:t>
      </w:r>
      <w:r w:rsidRPr="001542BA">
        <w:rPr>
          <w:rFonts w:ascii="Times New Roman" w:hAnsi="Times New Roman"/>
          <w:i/>
          <w:sz w:val="24"/>
          <w:szCs w:val="26"/>
        </w:rPr>
        <w:t>benzeri sebeplerle ayrım gözetilmeksizin kanun önünde eşittir.</w:t>
      </w:r>
    </w:p>
    <w:p w:rsidR="001542BA" w:rsidRDefault="001542BA" w:rsidP="001542BA">
      <w:pPr>
        <w:spacing w:before="100" w:beforeAutospacing="1" w:after="100" w:afterAutospacing="1" w:line="240" w:lineRule="auto"/>
        <w:ind w:firstLine="709"/>
        <w:jc w:val="both"/>
        <w:rPr>
          <w:rFonts w:ascii="Times New Roman" w:hAnsi="Times New Roman"/>
          <w:i/>
          <w:sz w:val="24"/>
          <w:szCs w:val="26"/>
        </w:rPr>
      </w:pPr>
      <w:r w:rsidRPr="001542BA">
        <w:rPr>
          <w:rFonts w:ascii="Times New Roman" w:hAnsi="Times New Roman"/>
          <w:i/>
          <w:sz w:val="24"/>
          <w:szCs w:val="26"/>
        </w:rPr>
        <w:t>Kadınlar ve erkekler eşit haklara sahiptir. Devlet, bu eşitliğin yaşama</w:t>
      </w:r>
      <w:r>
        <w:rPr>
          <w:rFonts w:ascii="Times New Roman" w:hAnsi="Times New Roman"/>
          <w:i/>
          <w:sz w:val="24"/>
          <w:szCs w:val="26"/>
        </w:rPr>
        <w:t xml:space="preserve"> </w:t>
      </w:r>
      <w:r w:rsidRPr="001542BA">
        <w:rPr>
          <w:rFonts w:ascii="Times New Roman" w:hAnsi="Times New Roman"/>
          <w:i/>
          <w:sz w:val="24"/>
          <w:szCs w:val="26"/>
        </w:rPr>
        <w:t xml:space="preserve">geçmesini sağlamakla yükümlüdür. Bu maksatla alınacak tedbirler eşitlik ilkesine aykırı olarak yorumlanamaz. </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Çocuklar, yaşlılar, özürlüler, harp ve vazife şehitlerinin dul ve yetimleri ile</w:t>
      </w:r>
      <w:r>
        <w:rPr>
          <w:rFonts w:cs="Times New Roman"/>
          <w:i/>
          <w:sz w:val="24"/>
          <w:szCs w:val="26"/>
        </w:rPr>
        <w:t xml:space="preserve"> </w:t>
      </w:r>
      <w:r w:rsidRPr="001542BA">
        <w:rPr>
          <w:rFonts w:cs="Times New Roman"/>
          <w:i/>
          <w:sz w:val="24"/>
          <w:szCs w:val="26"/>
        </w:rPr>
        <w:t>malul ve gaziler için alınacak tedbirler eşitlik ilkesine aykırı sayılmaz.</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Hiçbir kişiye, aileye, zümreye veya sınıfa imtiyaz tanınamaz.</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Devlet organları ve idare makamları bütün işlemlerinde kanun önünde</w:t>
      </w:r>
      <w:r>
        <w:rPr>
          <w:rFonts w:cs="Times New Roman"/>
          <w:i/>
          <w:sz w:val="24"/>
          <w:szCs w:val="26"/>
        </w:rPr>
        <w:t xml:space="preserve"> </w:t>
      </w:r>
      <w:r w:rsidRPr="001542BA">
        <w:rPr>
          <w:rFonts w:cs="Times New Roman"/>
          <w:i/>
          <w:sz w:val="24"/>
          <w:szCs w:val="26"/>
        </w:rPr>
        <w:t>eşitlik ilkesine uygun olarak hareket etmek zorundadırlar.”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Hükmü konulmuştur.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Anayasa Mahkemesinin bir çok kararında hukuki durumları aynı olan benzer</w:t>
      </w:r>
      <w:r>
        <w:rPr>
          <w:rFonts w:cs="Times New Roman"/>
          <w:i/>
          <w:sz w:val="24"/>
          <w:szCs w:val="26"/>
        </w:rPr>
        <w:t xml:space="preserve"> </w:t>
      </w:r>
      <w:r w:rsidRPr="001542BA">
        <w:rPr>
          <w:rFonts w:cs="Times New Roman"/>
          <w:i/>
          <w:sz w:val="24"/>
          <w:szCs w:val="26"/>
        </w:rPr>
        <w:t>statülerde olan şahıslarla ilgili olarak farklı hükümlerin uygulanmasının Anayasanın eşitlik</w:t>
      </w:r>
      <w:r>
        <w:rPr>
          <w:rFonts w:cs="Times New Roman"/>
          <w:i/>
          <w:sz w:val="24"/>
          <w:szCs w:val="26"/>
        </w:rPr>
        <w:t xml:space="preserve"> </w:t>
      </w:r>
      <w:r w:rsidRPr="001542BA">
        <w:rPr>
          <w:rFonts w:cs="Times New Roman"/>
          <w:i/>
          <w:sz w:val="24"/>
          <w:szCs w:val="26"/>
        </w:rPr>
        <w:t>ilkesine aykırı olacağı vurgulanmış,</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Yine Anayasa Mahkemesince Anayasanın 2. maddesinde tanımlanan hukuk</w:t>
      </w:r>
      <w:r>
        <w:rPr>
          <w:rFonts w:cs="Times New Roman"/>
          <w:i/>
          <w:sz w:val="24"/>
          <w:szCs w:val="26"/>
        </w:rPr>
        <w:t xml:space="preserve"> </w:t>
      </w:r>
      <w:r w:rsidRPr="001542BA">
        <w:rPr>
          <w:rFonts w:cs="Times New Roman"/>
          <w:i/>
          <w:sz w:val="24"/>
          <w:szCs w:val="26"/>
        </w:rPr>
        <w:t>devletinin nitelikleri şu şekilde açıklanmıştır;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“Anayasanın 2. maddesinde belirtilen hukuk devleti, insan haklarına dayanan</w:t>
      </w:r>
      <w:r>
        <w:rPr>
          <w:rFonts w:cs="Times New Roman"/>
          <w:i/>
          <w:sz w:val="24"/>
          <w:szCs w:val="26"/>
        </w:rPr>
        <w:t xml:space="preserve"> </w:t>
      </w:r>
      <w:r w:rsidRPr="001542BA">
        <w:rPr>
          <w:rFonts w:cs="Times New Roman"/>
          <w:i/>
          <w:sz w:val="24"/>
          <w:szCs w:val="26"/>
        </w:rPr>
        <w:t>bu hak ve özgürlükleri koruyup güçlendiren, eylem ve işlemleri hukuka uygun olan, her</w:t>
      </w:r>
      <w:r>
        <w:rPr>
          <w:rFonts w:cs="Times New Roman"/>
          <w:i/>
          <w:sz w:val="24"/>
          <w:szCs w:val="26"/>
        </w:rPr>
        <w:t xml:space="preserve"> </w:t>
      </w:r>
      <w:r w:rsidRPr="001542BA">
        <w:rPr>
          <w:rFonts w:cs="Times New Roman"/>
          <w:i/>
          <w:sz w:val="24"/>
          <w:szCs w:val="26"/>
        </w:rPr>
        <w:t>alanda adaletli bir hukuk düzeni kurup bunu geliştirerek sürdüren, Anayasaya aykırı durum</w:t>
      </w:r>
      <w:r>
        <w:rPr>
          <w:rFonts w:cs="Times New Roman"/>
          <w:i/>
          <w:sz w:val="24"/>
          <w:szCs w:val="26"/>
        </w:rPr>
        <w:t xml:space="preserve"> </w:t>
      </w:r>
      <w:r w:rsidRPr="001542BA">
        <w:rPr>
          <w:rFonts w:cs="Times New Roman"/>
          <w:i/>
          <w:sz w:val="24"/>
          <w:szCs w:val="26"/>
        </w:rPr>
        <w:t>ve davranışlardan kaçınan, hukuku tüm devlet organlarına egemen kılan, Anayasa ve</w:t>
      </w:r>
      <w:r>
        <w:rPr>
          <w:rFonts w:cs="Times New Roman"/>
          <w:i/>
          <w:sz w:val="24"/>
          <w:szCs w:val="26"/>
        </w:rPr>
        <w:t xml:space="preserve"> </w:t>
      </w:r>
      <w:r w:rsidRPr="001542BA">
        <w:rPr>
          <w:rFonts w:cs="Times New Roman"/>
          <w:i/>
          <w:sz w:val="24"/>
          <w:szCs w:val="26"/>
        </w:rPr>
        <w:t>yasalarla kendini bağlı sayan, yargı denetimine açık olan devlettir.</w:t>
      </w:r>
    </w:p>
    <w:p w:rsidR="001542BA" w:rsidRDefault="001542BA" w:rsidP="001542BA">
      <w:pPr>
        <w:pStyle w:val="Gvdemetni70"/>
        <w:shd w:val="clear" w:color="auto" w:fill="auto"/>
        <w:spacing w:before="100" w:beforeAutospacing="1" w:after="100" w:afterAutospacing="1" w:line="240" w:lineRule="auto"/>
        <w:ind w:firstLine="709"/>
        <w:rPr>
          <w:rFonts w:cs="Times New Roman"/>
          <w:i/>
          <w:sz w:val="24"/>
          <w:szCs w:val="26"/>
        </w:rPr>
      </w:pPr>
      <w:r w:rsidRPr="001542BA">
        <w:rPr>
          <w:rStyle w:val="Gvdemetni7KalnDeiltalikdeil"/>
          <w:rFonts w:cs="Times New Roman"/>
          <w:b w:val="0"/>
          <w:sz w:val="24"/>
          <w:szCs w:val="26"/>
        </w:rPr>
        <w:t>Hukuk devletinde ceza ve ceza yerine geçen güvenlik tedbirlerine ilişkin</w:t>
      </w:r>
      <w:r>
        <w:rPr>
          <w:rStyle w:val="Gvdemetni7KalnDeiltalikdeil"/>
          <w:rFonts w:cs="Times New Roman"/>
          <w:b w:val="0"/>
          <w:sz w:val="24"/>
          <w:szCs w:val="26"/>
        </w:rPr>
        <w:t xml:space="preserve"> </w:t>
      </w:r>
      <w:r w:rsidRPr="001542BA">
        <w:rPr>
          <w:rStyle w:val="Gvdemetni7KalnDeiltalikdeil"/>
          <w:rFonts w:cs="Times New Roman"/>
          <w:b w:val="0"/>
          <w:sz w:val="24"/>
          <w:szCs w:val="26"/>
        </w:rPr>
        <w:t>kurallar, ceza hukukunun ana ilkeleri ile Anayasanın konuya ilişkin kuralları başta olmak</w:t>
      </w:r>
      <w:r>
        <w:rPr>
          <w:rStyle w:val="Gvdemetni7KalnDeiltalikdeil"/>
          <w:rFonts w:cs="Times New Roman"/>
          <w:b w:val="0"/>
          <w:sz w:val="24"/>
          <w:szCs w:val="26"/>
        </w:rPr>
        <w:t xml:space="preserve"> </w:t>
      </w:r>
      <w:r w:rsidRPr="001542BA">
        <w:rPr>
          <w:rStyle w:val="Gvdemetni7KalnDeiltalikdeil"/>
          <w:rFonts w:cs="Times New Roman"/>
          <w:b w:val="0"/>
          <w:sz w:val="24"/>
          <w:szCs w:val="26"/>
        </w:rPr>
        <w:t>üzere, ülkenin sosyal, kültürel yapısı, etik değerleri ve ekonomik hayatın gereksinmeleri göz önüne alınarak saptanacak ceza siyasetine göre belirlenir.</w:t>
      </w:r>
      <w:r w:rsidRPr="001542BA">
        <w:rPr>
          <w:rFonts w:cs="Times New Roman"/>
          <w:i/>
          <w:sz w:val="24"/>
          <w:szCs w:val="26"/>
        </w:rPr>
        <w:t xml:space="preserve"> Yasa koyucu, cezalandırma</w:t>
      </w:r>
      <w:r>
        <w:rPr>
          <w:rFonts w:cs="Times New Roman"/>
          <w:i/>
          <w:sz w:val="24"/>
          <w:szCs w:val="26"/>
        </w:rPr>
        <w:t xml:space="preserve"> </w:t>
      </w:r>
      <w:r w:rsidRPr="001542BA">
        <w:rPr>
          <w:rFonts w:cs="Times New Roman"/>
          <w:i/>
          <w:sz w:val="24"/>
          <w:szCs w:val="26"/>
        </w:rPr>
        <w:t>yetkisini kullanırken toplumda hangi eylemlerin suç sayılacağı, bunun hangi tür ve</w:t>
      </w:r>
      <w:r>
        <w:rPr>
          <w:rFonts w:cs="Times New Roman"/>
          <w:i/>
          <w:sz w:val="24"/>
          <w:szCs w:val="26"/>
        </w:rPr>
        <w:t xml:space="preserve"> </w:t>
      </w:r>
      <w:r w:rsidRPr="001542BA">
        <w:rPr>
          <w:rFonts w:cs="Times New Roman"/>
          <w:i/>
          <w:sz w:val="24"/>
          <w:szCs w:val="26"/>
        </w:rPr>
        <w:t>ölçüdeki ceza yaptırımı ile karşılanacağı, nelerin ağırlaştırıcı veya hafifletici sebep olarak</w:t>
      </w:r>
      <w:r>
        <w:rPr>
          <w:rFonts w:cs="Times New Roman"/>
          <w:i/>
          <w:sz w:val="24"/>
          <w:szCs w:val="26"/>
        </w:rPr>
        <w:t xml:space="preserve"> </w:t>
      </w:r>
      <w:r w:rsidRPr="001542BA">
        <w:rPr>
          <w:rFonts w:cs="Times New Roman"/>
          <w:i/>
          <w:sz w:val="24"/>
          <w:szCs w:val="26"/>
        </w:rPr>
        <w:t>kabul edilebileceği konularında takdir yetkisine sahip olmakla birlikte, bu yetkisini</w:t>
      </w:r>
      <w:r>
        <w:rPr>
          <w:rFonts w:cs="Times New Roman"/>
          <w:i/>
          <w:sz w:val="24"/>
          <w:szCs w:val="26"/>
        </w:rPr>
        <w:t xml:space="preserve"> </w:t>
      </w:r>
      <w:r w:rsidRPr="001542BA">
        <w:rPr>
          <w:rFonts w:cs="Times New Roman"/>
          <w:i/>
          <w:sz w:val="24"/>
          <w:szCs w:val="26"/>
        </w:rPr>
        <w:t>kullanırken suç ve ceza arasındaki adil dengenin korunmasını ve öngörülen cezanın,</w:t>
      </w:r>
      <w:r>
        <w:rPr>
          <w:rFonts w:cs="Times New Roman"/>
          <w:i/>
          <w:sz w:val="24"/>
          <w:szCs w:val="26"/>
        </w:rPr>
        <w:t xml:space="preserve"> </w:t>
      </w:r>
      <w:r w:rsidRPr="001542BA">
        <w:rPr>
          <w:rFonts w:cs="Times New Roman"/>
          <w:i/>
          <w:sz w:val="24"/>
          <w:szCs w:val="26"/>
        </w:rPr>
        <w:t>cezalandırmada güdülen amacın gerçekleştirmeye elverişli olmasını da dikkate almak</w:t>
      </w:r>
      <w:r>
        <w:rPr>
          <w:rFonts w:cs="Times New Roman"/>
          <w:i/>
          <w:sz w:val="24"/>
          <w:szCs w:val="26"/>
        </w:rPr>
        <w:t xml:space="preserve"> </w:t>
      </w:r>
      <w:r w:rsidRPr="001542BA">
        <w:rPr>
          <w:rFonts w:cs="Times New Roman"/>
          <w:i/>
          <w:sz w:val="24"/>
          <w:szCs w:val="26"/>
        </w:rPr>
        <w:t>zorundadır. Bu nedenle suç ve ceza arasında adalete uygun bir oranın bulunup</w:t>
      </w:r>
      <w:r>
        <w:rPr>
          <w:rFonts w:cs="Times New Roman"/>
          <w:i/>
          <w:sz w:val="24"/>
          <w:szCs w:val="26"/>
        </w:rPr>
        <w:t xml:space="preserve"> </w:t>
      </w:r>
      <w:r w:rsidRPr="001542BA">
        <w:rPr>
          <w:rFonts w:cs="Times New Roman"/>
          <w:i/>
          <w:sz w:val="24"/>
          <w:szCs w:val="26"/>
        </w:rPr>
        <w:t>bulunmadığının saptanmasında o suçun toplumda yarattığı infial ve etki kişiler üzerinde</w:t>
      </w:r>
      <w:r>
        <w:rPr>
          <w:rFonts w:cs="Times New Roman"/>
          <w:i/>
          <w:sz w:val="24"/>
          <w:szCs w:val="26"/>
        </w:rPr>
        <w:t xml:space="preserve"> </w:t>
      </w:r>
      <w:r w:rsidRPr="001542BA">
        <w:rPr>
          <w:rFonts w:cs="Times New Roman"/>
          <w:i/>
          <w:sz w:val="24"/>
          <w:szCs w:val="26"/>
        </w:rPr>
        <w:t>oluşturduğu tehlike, zarar görenin kişiliği ile ona verilen zararın azlığı veya çokluğu,</w:t>
      </w:r>
      <w:r>
        <w:rPr>
          <w:rFonts w:cs="Times New Roman"/>
          <w:i/>
          <w:sz w:val="24"/>
          <w:szCs w:val="26"/>
        </w:rPr>
        <w:t xml:space="preserve"> </w:t>
      </w:r>
      <w:r w:rsidRPr="001542BA">
        <w:rPr>
          <w:rFonts w:cs="Times New Roman"/>
          <w:i/>
          <w:sz w:val="24"/>
          <w:szCs w:val="26"/>
        </w:rPr>
        <w:t>işlenme oranındaki azalma veya artış gibi faktörlerin de dikkate alınması gerekir.”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lastRenderedPageBreak/>
        <w:t>Yasa koyucu ceza hukukunda normlara aykırı davranışları sosyal ve kültürel</w:t>
      </w:r>
      <w:r>
        <w:rPr>
          <w:rFonts w:cs="Times New Roman"/>
          <w:i/>
          <w:sz w:val="24"/>
          <w:szCs w:val="26"/>
        </w:rPr>
        <w:t xml:space="preserve"> </w:t>
      </w:r>
      <w:r w:rsidRPr="001542BA">
        <w:rPr>
          <w:rFonts w:cs="Times New Roman"/>
          <w:i/>
          <w:sz w:val="24"/>
          <w:szCs w:val="26"/>
        </w:rPr>
        <w:t>yapı, ortak değerler ve ekonomik yaşamın gereklerini göz önüne alarak ceza siyaseti gereği</w:t>
      </w:r>
      <w:r>
        <w:rPr>
          <w:rFonts w:cs="Times New Roman"/>
          <w:i/>
          <w:sz w:val="24"/>
          <w:szCs w:val="26"/>
        </w:rPr>
        <w:t xml:space="preserve"> </w:t>
      </w:r>
      <w:r w:rsidRPr="001542BA">
        <w:rPr>
          <w:rFonts w:cs="Times New Roman"/>
          <w:i/>
          <w:sz w:val="24"/>
          <w:szCs w:val="26"/>
        </w:rPr>
        <w:t>suç ve kabahat olarak ikiye ayırmış,</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5237 sayılı Türk Ceza Kanununun 45. maddesinde suç karşılığı olarak hapis ve</w:t>
      </w:r>
      <w:r>
        <w:rPr>
          <w:rFonts w:cs="Times New Roman"/>
          <w:i/>
          <w:sz w:val="24"/>
          <w:szCs w:val="26"/>
        </w:rPr>
        <w:t xml:space="preserve"> </w:t>
      </w:r>
      <w:r w:rsidRPr="001542BA">
        <w:rPr>
          <w:rFonts w:cs="Times New Roman"/>
          <w:i/>
          <w:sz w:val="24"/>
          <w:szCs w:val="26"/>
        </w:rPr>
        <w:t>adli para cezası yaptırımlarının uygulanacağını hükme bağlamış, hapis cezasını gerektiren</w:t>
      </w:r>
      <w:r>
        <w:rPr>
          <w:rFonts w:cs="Times New Roman"/>
          <w:i/>
          <w:sz w:val="24"/>
          <w:szCs w:val="26"/>
        </w:rPr>
        <w:t xml:space="preserve"> </w:t>
      </w:r>
      <w:r w:rsidRPr="001542BA">
        <w:rPr>
          <w:rFonts w:cs="Times New Roman"/>
          <w:i/>
          <w:sz w:val="24"/>
          <w:szCs w:val="26"/>
        </w:rPr>
        <w:t>suçlar açısından fiilin ağırlığı, yarattığı sonuç ve etkilerine göre ağırlaştırılmış müebbet hapis,</w:t>
      </w:r>
      <w:r>
        <w:rPr>
          <w:rFonts w:cs="Times New Roman"/>
          <w:i/>
          <w:sz w:val="24"/>
          <w:szCs w:val="26"/>
        </w:rPr>
        <w:t xml:space="preserve"> </w:t>
      </w:r>
      <w:r w:rsidRPr="001542BA">
        <w:rPr>
          <w:rFonts w:cs="Times New Roman"/>
          <w:i/>
          <w:sz w:val="24"/>
          <w:szCs w:val="26"/>
        </w:rPr>
        <w:t>müebbet hapis ve süreli hapis cezası gerektiren suçlar şeklinde bir ayrım ve sıralama</w:t>
      </w:r>
      <w:r>
        <w:rPr>
          <w:rFonts w:cs="Times New Roman"/>
          <w:i/>
          <w:sz w:val="24"/>
          <w:szCs w:val="26"/>
        </w:rPr>
        <w:t xml:space="preserve"> </w:t>
      </w:r>
      <w:r w:rsidRPr="001542BA">
        <w:rPr>
          <w:rFonts w:cs="Times New Roman"/>
          <w:i/>
          <w:sz w:val="24"/>
          <w:szCs w:val="26"/>
        </w:rPr>
        <w:t>benimsemiş, bununla da yetinmeyerek suçları, öngörülen ceza yaptırımları açısından Türk</w:t>
      </w:r>
      <w:r>
        <w:rPr>
          <w:rFonts w:cs="Times New Roman"/>
          <w:i/>
          <w:sz w:val="24"/>
          <w:szCs w:val="26"/>
        </w:rPr>
        <w:t xml:space="preserve"> </w:t>
      </w:r>
      <w:r w:rsidRPr="001542BA">
        <w:rPr>
          <w:rFonts w:cs="Times New Roman"/>
          <w:i/>
          <w:sz w:val="24"/>
          <w:szCs w:val="26"/>
        </w:rPr>
        <w:t>Ceza Kanununun 50 ve 52. maddelerindeki düzenlemeler göz önüne alındığında,</w:t>
      </w:r>
    </w:p>
    <w:p w:rsidR="001542BA" w:rsidRDefault="001542BA" w:rsidP="001542BA">
      <w:pPr>
        <w:pStyle w:val="Gvdemetni0"/>
        <w:shd w:val="clear" w:color="auto" w:fill="auto"/>
        <w:tabs>
          <w:tab w:val="left" w:pos="2240"/>
        </w:tabs>
        <w:spacing w:before="100" w:beforeAutospacing="1" w:after="100" w:afterAutospacing="1" w:line="240" w:lineRule="auto"/>
        <w:ind w:firstLine="709"/>
        <w:rPr>
          <w:rFonts w:cs="Times New Roman"/>
          <w:i/>
          <w:sz w:val="24"/>
          <w:szCs w:val="26"/>
        </w:rPr>
      </w:pPr>
      <w:r w:rsidRPr="001542BA">
        <w:rPr>
          <w:rFonts w:cs="Times New Roman"/>
          <w:i/>
          <w:sz w:val="24"/>
          <w:szCs w:val="26"/>
        </w:rPr>
        <w:t>1- Hapis cezası gerektiren suçlar,</w:t>
      </w:r>
    </w:p>
    <w:p w:rsidR="001542BA" w:rsidRDefault="001542BA" w:rsidP="001542BA">
      <w:pPr>
        <w:pStyle w:val="Gvdemetni0"/>
        <w:shd w:val="clear" w:color="auto" w:fill="auto"/>
        <w:tabs>
          <w:tab w:val="left" w:pos="2269"/>
        </w:tabs>
        <w:spacing w:before="100" w:beforeAutospacing="1" w:after="100" w:afterAutospacing="1" w:line="240" w:lineRule="auto"/>
        <w:ind w:firstLine="709"/>
        <w:rPr>
          <w:rFonts w:cs="Times New Roman"/>
          <w:i/>
          <w:sz w:val="24"/>
          <w:szCs w:val="26"/>
        </w:rPr>
      </w:pPr>
      <w:r w:rsidRPr="001542BA">
        <w:rPr>
          <w:rFonts w:cs="Times New Roman"/>
          <w:i/>
          <w:sz w:val="24"/>
          <w:szCs w:val="26"/>
        </w:rPr>
        <w:t>2- Hapis cezası ile birlikte adli para cezası öngörülen suçlar,</w:t>
      </w:r>
    </w:p>
    <w:p w:rsidR="001542BA" w:rsidRDefault="001542BA" w:rsidP="001542BA">
      <w:pPr>
        <w:pStyle w:val="Gvdemetni0"/>
        <w:shd w:val="clear" w:color="auto" w:fill="auto"/>
        <w:tabs>
          <w:tab w:val="left" w:pos="2262"/>
        </w:tabs>
        <w:spacing w:before="100" w:beforeAutospacing="1" w:after="100" w:afterAutospacing="1" w:line="240" w:lineRule="auto"/>
        <w:ind w:firstLine="709"/>
        <w:rPr>
          <w:rFonts w:cs="Times New Roman"/>
          <w:i/>
          <w:sz w:val="24"/>
          <w:szCs w:val="26"/>
        </w:rPr>
      </w:pPr>
      <w:r w:rsidRPr="001542BA">
        <w:rPr>
          <w:rFonts w:cs="Times New Roman"/>
          <w:i/>
          <w:sz w:val="24"/>
          <w:szCs w:val="26"/>
        </w:rPr>
        <w:t>3- Hapis veya adli para cezasının seçimlik ceza olarak düzenlendiği suçlar,</w:t>
      </w:r>
    </w:p>
    <w:p w:rsidR="001542BA" w:rsidRDefault="001542BA" w:rsidP="001542BA">
      <w:pPr>
        <w:pStyle w:val="Gvdemetni0"/>
        <w:shd w:val="clear" w:color="auto" w:fill="auto"/>
        <w:tabs>
          <w:tab w:val="left" w:pos="2226"/>
        </w:tabs>
        <w:spacing w:before="100" w:beforeAutospacing="1" w:after="100" w:afterAutospacing="1" w:line="240" w:lineRule="auto"/>
        <w:ind w:firstLine="709"/>
        <w:rPr>
          <w:rFonts w:cs="Times New Roman"/>
          <w:i/>
          <w:sz w:val="24"/>
          <w:szCs w:val="26"/>
        </w:rPr>
      </w:pPr>
      <w:r w:rsidRPr="001542BA">
        <w:rPr>
          <w:rFonts w:cs="Times New Roman"/>
          <w:i/>
          <w:sz w:val="24"/>
          <w:szCs w:val="26"/>
        </w:rPr>
        <w:t>4- Adli para cezası gerektiren suçlar olarak ikinci bir sıralamaya bağlı tutmuştur.</w:t>
      </w:r>
    </w:p>
    <w:p w:rsidR="001542BA" w:rsidRDefault="001542BA" w:rsidP="001542BA">
      <w:pPr>
        <w:pStyle w:val="Gvdemetni8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Anayasanın 2 ve 10. maddelerine aykırı görülen,</w:t>
      </w:r>
    </w:p>
    <w:p w:rsidR="001542BA" w:rsidRDefault="001542BA" w:rsidP="001542BA">
      <w:pPr>
        <w:pStyle w:val="Gvdemetni8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 xml:space="preserve">5237 sayılı Türk Ceza Kanunu’nun 50. maddesinin 2. fıkrası “suç tanımında hapis ile adli para cezasının seçenek olarak öngörüldüğü hallerde, hapis cezasına hükmedilmişse; bu ceza artık adli para cezasına çevrilmez” </w:t>
      </w:r>
    </w:p>
    <w:p w:rsidR="001542BA" w:rsidRDefault="001542BA" w:rsidP="001542BA">
      <w:pPr>
        <w:pStyle w:val="Gvdemetni8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5237 sayılı Türk Ceza Kanunu’nun 58. maddesinin 3. fıkrasında ise, “tekerür halinde sonraki suça ilişkin kanun maddesinde seçimlik olarak hapis cezası ile adli para cezası öngörülmüşse, hapis cezasına hükmolunur”</w:t>
      </w:r>
    </w:p>
    <w:p w:rsidR="001542BA" w:rsidRDefault="001542BA" w:rsidP="001542BA">
      <w:pPr>
        <w:pStyle w:val="Gvdemetni7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Yargıtay Ceza Genel Kurulunun 19.03.2013 tarih ve 2012/2-1500 E., 2013/95</w:t>
      </w:r>
      <w:r>
        <w:rPr>
          <w:rFonts w:cs="Times New Roman"/>
          <w:i/>
          <w:sz w:val="24"/>
          <w:szCs w:val="26"/>
        </w:rPr>
        <w:t xml:space="preserve"> </w:t>
      </w:r>
      <w:r w:rsidRPr="001542BA">
        <w:rPr>
          <w:rFonts w:cs="Times New Roman"/>
          <w:i/>
          <w:sz w:val="24"/>
          <w:szCs w:val="26"/>
        </w:rPr>
        <w:t>K. sayılı kararında,</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“TCK’nun kısa süreli hapis cezasına seçenek yaptırımları düzenleyen 50.</w:t>
      </w:r>
      <w:r>
        <w:rPr>
          <w:rFonts w:cs="Times New Roman"/>
          <w:i/>
          <w:sz w:val="24"/>
          <w:szCs w:val="26"/>
        </w:rPr>
        <w:t xml:space="preserve"> </w:t>
      </w:r>
      <w:r w:rsidRPr="001542BA">
        <w:rPr>
          <w:rFonts w:cs="Times New Roman"/>
          <w:i/>
          <w:sz w:val="24"/>
          <w:szCs w:val="26"/>
        </w:rPr>
        <w:t>maddesinin 2. fıkrası; “Suç tanımında hapis cezası ile adlî para cezasının seçenek olarak</w:t>
      </w:r>
      <w:r>
        <w:rPr>
          <w:rFonts w:cs="Times New Roman"/>
          <w:i/>
          <w:sz w:val="24"/>
          <w:szCs w:val="26"/>
        </w:rPr>
        <w:t xml:space="preserve"> </w:t>
      </w:r>
      <w:r w:rsidRPr="001542BA">
        <w:rPr>
          <w:rFonts w:cs="Times New Roman"/>
          <w:i/>
          <w:sz w:val="24"/>
          <w:szCs w:val="26"/>
        </w:rPr>
        <w:t>öngörüldüğü hâllerde, hapis cezasına hükmedilmişse; bu ceza artık adlî para cezasına</w:t>
      </w:r>
      <w:r>
        <w:rPr>
          <w:rFonts w:cs="Times New Roman"/>
          <w:i/>
          <w:sz w:val="24"/>
          <w:szCs w:val="26"/>
        </w:rPr>
        <w:t xml:space="preserve"> </w:t>
      </w:r>
      <w:r w:rsidRPr="001542BA">
        <w:rPr>
          <w:rFonts w:cs="Times New Roman"/>
          <w:i/>
          <w:sz w:val="24"/>
          <w:szCs w:val="26"/>
        </w:rPr>
        <w:t>çevrilmez” şeklinde düzenlenmiş, “Suçta tekerrür ve özel tehlikeli suçlular” başlıklı 58.</w:t>
      </w:r>
      <w:r>
        <w:rPr>
          <w:rFonts w:cs="Times New Roman"/>
          <w:i/>
          <w:sz w:val="24"/>
          <w:szCs w:val="26"/>
        </w:rPr>
        <w:t xml:space="preserve"> </w:t>
      </w:r>
      <w:r w:rsidRPr="001542BA">
        <w:rPr>
          <w:rFonts w:cs="Times New Roman"/>
          <w:i/>
          <w:sz w:val="24"/>
          <w:szCs w:val="26"/>
        </w:rPr>
        <w:t>maddesinin 3. fıkrasında ise; “Tekerrür hâlinde, sonraki suça ilişkin kanun maddesinde</w:t>
      </w:r>
      <w:r>
        <w:rPr>
          <w:rFonts w:cs="Times New Roman"/>
          <w:i/>
          <w:sz w:val="24"/>
          <w:szCs w:val="26"/>
        </w:rPr>
        <w:t xml:space="preserve"> </w:t>
      </w:r>
      <w:r w:rsidRPr="001542BA">
        <w:rPr>
          <w:rFonts w:cs="Times New Roman"/>
          <w:i/>
          <w:sz w:val="24"/>
          <w:szCs w:val="26"/>
        </w:rPr>
        <w:t>seçimlik olarak hapis cezası ile adlî para cezası öngörülmüşse, hapis cezasına hükmolunur” düzenlemesine yer verilmiştir.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Suç tanımında hapis cezası ile adli para cezasının seçenek yaptırım olarak</w:t>
      </w:r>
      <w:r>
        <w:rPr>
          <w:rFonts w:cs="Times New Roman"/>
          <w:i/>
          <w:sz w:val="24"/>
          <w:szCs w:val="26"/>
        </w:rPr>
        <w:t xml:space="preserve"> </w:t>
      </w:r>
      <w:r w:rsidRPr="001542BA">
        <w:rPr>
          <w:rFonts w:cs="Times New Roman"/>
          <w:i/>
          <w:sz w:val="24"/>
          <w:szCs w:val="26"/>
        </w:rPr>
        <w:t>düzenlendiği ahvalde, temel ceza belirlenirken TCK’nun 61/1. maddesi gereğince hapis</w:t>
      </w:r>
      <w:r>
        <w:rPr>
          <w:rFonts w:cs="Times New Roman"/>
          <w:i/>
          <w:sz w:val="24"/>
          <w:szCs w:val="26"/>
        </w:rPr>
        <w:t xml:space="preserve"> </w:t>
      </w:r>
      <w:r w:rsidRPr="001542BA">
        <w:rPr>
          <w:rFonts w:cs="Times New Roman"/>
          <w:i/>
          <w:sz w:val="24"/>
          <w:szCs w:val="26"/>
        </w:rPr>
        <w:t>cezası seçildikten sonra, TCK’nun 50/2. maddesindeki düzenlemeye göre hürriyeti bağlayıcı cezanın adli para cezasına çevrilmesinin mümkün olmaması karşısında, sanığın mükerrir olması nedeniyle TCK’nun 58/3. maddesindeki emredici hüküm uyarınca seçenek olarak düzenlenen cezalardan hapis cezasının tercih edilmesi kanuni zorunluluktan kaynaklanmış olsa bile TCK’nun 50/2. maddesi gözetilerek hapis cezasının adli para cezasına çevrilmesinin mümkün olmadığı kabul edilmelidir.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Başka bir anlatımla, hapis ve adli para cezasının seçenek yaptırım olarak</w:t>
      </w:r>
      <w:r>
        <w:rPr>
          <w:rFonts w:cs="Times New Roman"/>
          <w:i/>
          <w:sz w:val="24"/>
          <w:szCs w:val="26"/>
        </w:rPr>
        <w:t xml:space="preserve"> </w:t>
      </w:r>
      <w:r w:rsidRPr="001542BA">
        <w:rPr>
          <w:rFonts w:cs="Times New Roman"/>
          <w:i/>
          <w:sz w:val="24"/>
          <w:szCs w:val="26"/>
        </w:rPr>
        <w:t>düzenlendiği suçlarda, hakimin takdir hakkı olmasına rağmen, sanığın mükerrir olması</w:t>
      </w:r>
      <w:r>
        <w:rPr>
          <w:rFonts w:cs="Times New Roman"/>
          <w:i/>
          <w:sz w:val="24"/>
          <w:szCs w:val="26"/>
        </w:rPr>
        <w:t xml:space="preserve"> </w:t>
      </w:r>
      <w:r w:rsidRPr="001542BA">
        <w:rPr>
          <w:rFonts w:cs="Times New Roman"/>
          <w:i/>
          <w:sz w:val="24"/>
          <w:szCs w:val="26"/>
        </w:rPr>
        <w:t xml:space="preserve">durumunda kanun </w:t>
      </w:r>
      <w:r w:rsidRPr="001542BA">
        <w:rPr>
          <w:rFonts w:cs="Times New Roman"/>
          <w:i/>
          <w:sz w:val="24"/>
          <w:szCs w:val="26"/>
        </w:rPr>
        <w:lastRenderedPageBreak/>
        <w:t>koyucu hakime takdir hakkı bırakmamış, temel cezanın türünü bizzat</w:t>
      </w:r>
      <w:r>
        <w:rPr>
          <w:rFonts w:cs="Times New Roman"/>
          <w:i/>
          <w:sz w:val="24"/>
          <w:szCs w:val="26"/>
        </w:rPr>
        <w:t xml:space="preserve"> </w:t>
      </w:r>
      <w:r w:rsidRPr="001542BA">
        <w:rPr>
          <w:rFonts w:cs="Times New Roman"/>
          <w:i/>
          <w:sz w:val="24"/>
          <w:szCs w:val="26"/>
        </w:rPr>
        <w:t>kendisi belirlemiştir. Takdir hakkı kullanılarak hapis cezası tercih edildiğinde hapis cezasının bir daha adli para cezasına çevrilmesi mümkün değilken, takdir hakkının bulunmadığı ve temel cezanın zorunlu olarak hapis olarak belirlendiği bir durumda bu cezanın paraya çevrilebilmesi kanun koyucunun amacına da uygun olmayacaktır.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Ayrıca kanun koyucu TCK’nun 58/3. maddesindeki düzenleme ile suç</w:t>
      </w:r>
      <w:r>
        <w:rPr>
          <w:rFonts w:cs="Times New Roman"/>
          <w:i/>
          <w:sz w:val="24"/>
          <w:szCs w:val="26"/>
        </w:rPr>
        <w:t xml:space="preserve"> </w:t>
      </w:r>
      <w:r w:rsidRPr="001542BA">
        <w:rPr>
          <w:rFonts w:cs="Times New Roman"/>
          <w:i/>
          <w:sz w:val="24"/>
          <w:szCs w:val="26"/>
        </w:rPr>
        <w:t>işlemekte ısrar eden sanık ile ilk defa suç işleyen sanığı birbirinden ayırmak için mükerrir</w:t>
      </w:r>
      <w:r>
        <w:rPr>
          <w:rFonts w:cs="Times New Roman"/>
          <w:i/>
          <w:sz w:val="24"/>
          <w:szCs w:val="26"/>
        </w:rPr>
        <w:t xml:space="preserve"> </w:t>
      </w:r>
      <w:r w:rsidRPr="001542BA">
        <w:rPr>
          <w:rFonts w:cs="Times New Roman"/>
          <w:i/>
          <w:sz w:val="24"/>
          <w:szCs w:val="26"/>
        </w:rPr>
        <w:t>olan sanık hakkında temel ceza olarak hapis cezasının tercih edilmesini ve bu cezanın adli</w:t>
      </w:r>
      <w:r>
        <w:rPr>
          <w:rFonts w:cs="Times New Roman"/>
          <w:i/>
          <w:sz w:val="24"/>
          <w:szCs w:val="26"/>
        </w:rPr>
        <w:t xml:space="preserve"> </w:t>
      </w:r>
      <w:r w:rsidRPr="001542BA">
        <w:rPr>
          <w:rFonts w:cs="Times New Roman"/>
          <w:i/>
          <w:sz w:val="24"/>
          <w:szCs w:val="26"/>
        </w:rPr>
        <w:t>para cezasına çevrilmemesini amaçlamaktadır”,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Style w:val="GvdemetniKalntalik"/>
          <w:rFonts w:eastAsiaTheme="minorHAnsi"/>
          <w:b w:val="0"/>
          <w:sz w:val="24"/>
          <w:szCs w:val="26"/>
        </w:rPr>
        <w:t>Gerekçesiyle seçimlik ceza öngörülen bir suç işleyen ve mükerrir olan</w:t>
      </w:r>
      <w:r>
        <w:rPr>
          <w:rStyle w:val="GvdemetniKalntalik"/>
          <w:rFonts w:eastAsiaTheme="minorHAnsi"/>
          <w:b w:val="0"/>
          <w:sz w:val="24"/>
          <w:szCs w:val="26"/>
        </w:rPr>
        <w:t xml:space="preserve"> </w:t>
      </w:r>
      <w:r w:rsidRPr="001542BA">
        <w:rPr>
          <w:rStyle w:val="GvdemetniKalntalik"/>
          <w:rFonts w:eastAsiaTheme="minorHAnsi"/>
          <w:b w:val="0"/>
          <w:sz w:val="24"/>
          <w:szCs w:val="26"/>
        </w:rPr>
        <w:t>sanıkla ilgili olarak hapis cezası verilmesi gerektiğini ve verilen hapis cezası kısa süreli</w:t>
      </w:r>
      <w:r>
        <w:rPr>
          <w:rStyle w:val="GvdemetniKalntalik"/>
          <w:rFonts w:eastAsiaTheme="minorHAnsi"/>
          <w:b w:val="0"/>
          <w:sz w:val="24"/>
          <w:szCs w:val="26"/>
        </w:rPr>
        <w:t xml:space="preserve"> </w:t>
      </w:r>
      <w:r w:rsidRPr="001542BA">
        <w:rPr>
          <w:rStyle w:val="GvdemetniKalntalik"/>
          <w:rFonts w:eastAsiaTheme="minorHAnsi"/>
          <w:b w:val="0"/>
          <w:sz w:val="24"/>
          <w:szCs w:val="26"/>
        </w:rPr>
        <w:t>olsa bile adli para cezasına çevrilemeyeceğine karar verilmiş</w:t>
      </w:r>
      <w:r w:rsidRPr="001542BA">
        <w:rPr>
          <w:rFonts w:cs="Times New Roman"/>
          <w:i/>
          <w:sz w:val="24"/>
          <w:szCs w:val="26"/>
        </w:rPr>
        <w:t xml:space="preserve"> ve bu karar doğrultusunda</w:t>
      </w:r>
      <w:r>
        <w:rPr>
          <w:rFonts w:cs="Times New Roman"/>
          <w:i/>
          <w:sz w:val="24"/>
          <w:szCs w:val="26"/>
        </w:rPr>
        <w:t xml:space="preserve"> </w:t>
      </w:r>
      <w:r w:rsidRPr="001542BA">
        <w:rPr>
          <w:rFonts w:cs="Times New Roman"/>
          <w:i/>
          <w:sz w:val="24"/>
          <w:szCs w:val="26"/>
        </w:rPr>
        <w:t>örnek olarak belirtmek gerekirse Yargıtay 22.Ceza Dairesinin 04.06.2015 tarih, 2015/1341 E., 2015/1580 K ve 18. Ceza Dairesinin 27.05.2015 tarih, 2015/2101 E.,  2015/1932 K sayılı ilamlarında bu kabul benimsenerek Yargıtay uygulaması yerleşmiş uygulama niteliğini kazanmıştır.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5237 sayılı Türk Ceza Kanununun 50/2. ve 58/3. maddesindeki düzenlemeler</w:t>
      </w:r>
      <w:r>
        <w:rPr>
          <w:rFonts w:cs="Times New Roman"/>
          <w:i/>
          <w:sz w:val="24"/>
          <w:szCs w:val="26"/>
        </w:rPr>
        <w:t xml:space="preserve"> </w:t>
      </w:r>
      <w:r w:rsidRPr="001542BA">
        <w:rPr>
          <w:rFonts w:cs="Times New Roman"/>
          <w:i/>
          <w:sz w:val="24"/>
          <w:szCs w:val="26"/>
        </w:rPr>
        <w:t>ve yerleşmiş Yargıtay kararlarına göre,</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Her ikisi de mükerrir olan sanıklardan birinin,</w:t>
      </w:r>
    </w:p>
    <w:p w:rsidR="001542BA" w:rsidRDefault="001542BA" w:rsidP="001542BA">
      <w:pPr>
        <w:pStyle w:val="Gvdemetni0"/>
        <w:shd w:val="clear" w:color="auto" w:fill="auto"/>
        <w:spacing w:before="100" w:beforeAutospacing="1" w:after="100" w:afterAutospacing="1" w:line="240" w:lineRule="auto"/>
        <w:ind w:firstLine="709"/>
        <w:rPr>
          <w:rStyle w:val="GvdemetniKalntalik"/>
          <w:rFonts w:eastAsiaTheme="minorHAnsi"/>
          <w:b w:val="0"/>
          <w:sz w:val="24"/>
          <w:szCs w:val="26"/>
        </w:rPr>
      </w:pPr>
      <w:r w:rsidRPr="001542BA">
        <w:rPr>
          <w:rFonts w:cs="Times New Roman"/>
          <w:i/>
          <w:sz w:val="24"/>
          <w:szCs w:val="26"/>
        </w:rPr>
        <w:t>Türk Ceza Kanununun 10. maddesinin 1. fıkra 1. cümlesi kapsamına giren ve</w:t>
      </w:r>
      <w:r>
        <w:rPr>
          <w:rFonts w:cs="Times New Roman"/>
          <w:i/>
          <w:sz w:val="24"/>
          <w:szCs w:val="26"/>
        </w:rPr>
        <w:t xml:space="preserve"> </w:t>
      </w:r>
      <w:r w:rsidRPr="001542BA">
        <w:rPr>
          <w:rFonts w:cs="Times New Roman"/>
          <w:i/>
          <w:sz w:val="24"/>
          <w:szCs w:val="26"/>
        </w:rPr>
        <w:t>6 ay ile 2 yıl arasında hapis cezası gerektiren tehdit suçunu işlemesi ve yargılama sonucu</w:t>
      </w:r>
      <w:r>
        <w:rPr>
          <w:rFonts w:cs="Times New Roman"/>
          <w:i/>
          <w:sz w:val="24"/>
          <w:szCs w:val="26"/>
        </w:rPr>
        <w:t xml:space="preserve"> </w:t>
      </w:r>
      <w:r w:rsidRPr="001542BA">
        <w:rPr>
          <w:rFonts w:cs="Times New Roman"/>
          <w:i/>
          <w:sz w:val="24"/>
          <w:szCs w:val="26"/>
        </w:rPr>
        <w:t>temel cezanın 1 yıl veya altında takdir edilmesi durumunda cezası,</w:t>
      </w:r>
      <w:r w:rsidRPr="001542BA">
        <w:rPr>
          <w:rStyle w:val="GvdemetniKalntalik"/>
          <w:rFonts w:eastAsiaTheme="minorHAnsi"/>
          <w:b w:val="0"/>
          <w:sz w:val="24"/>
          <w:szCs w:val="26"/>
        </w:rPr>
        <w:t xml:space="preserve"> Türk Ceza</w:t>
      </w:r>
      <w:r>
        <w:rPr>
          <w:rStyle w:val="GvdemetniKalntalik"/>
          <w:rFonts w:eastAsiaTheme="minorHAnsi"/>
          <w:b w:val="0"/>
          <w:sz w:val="24"/>
          <w:szCs w:val="26"/>
        </w:rPr>
        <w:t xml:space="preserve"> </w:t>
      </w:r>
      <w:r w:rsidRPr="001542BA">
        <w:rPr>
          <w:rStyle w:val="GvdemetniKalntalik"/>
          <w:rFonts w:eastAsiaTheme="minorHAnsi"/>
          <w:b w:val="0"/>
          <w:sz w:val="24"/>
          <w:szCs w:val="26"/>
        </w:rPr>
        <w:t>Kanununda önleyici herhangi bir düzenleme söz konusu olmadığından Kanunun</w:t>
      </w:r>
      <w:r>
        <w:rPr>
          <w:rStyle w:val="GvdemetniKalntalik"/>
          <w:rFonts w:eastAsiaTheme="minorHAnsi"/>
          <w:b w:val="0"/>
          <w:sz w:val="24"/>
          <w:szCs w:val="26"/>
        </w:rPr>
        <w:t xml:space="preserve"> </w:t>
      </w:r>
      <w:r w:rsidRPr="001542BA">
        <w:rPr>
          <w:rStyle w:val="GvdemetniKalntalik"/>
          <w:rFonts w:eastAsiaTheme="minorHAnsi"/>
          <w:b w:val="0"/>
          <w:sz w:val="24"/>
          <w:szCs w:val="26"/>
        </w:rPr>
        <w:t>50/1. a ve 52/2-3. maddelerine göre adli para cezasına çevrilebilecek,</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Türk Ceza Kanununun 299. maddesinde düzenlenen Cumhurbaşkanına</w:t>
      </w:r>
      <w:r>
        <w:rPr>
          <w:rFonts w:cs="Times New Roman"/>
          <w:i/>
          <w:sz w:val="24"/>
          <w:szCs w:val="26"/>
        </w:rPr>
        <w:t xml:space="preserve"> </w:t>
      </w:r>
      <w:r w:rsidRPr="001542BA">
        <w:rPr>
          <w:rFonts w:cs="Times New Roman"/>
          <w:i/>
          <w:sz w:val="24"/>
          <w:szCs w:val="26"/>
        </w:rPr>
        <w:t xml:space="preserve">hakaret, 300. maddede düzenlenen devletin egemenlik alametlerini aşağılama ve 301. maddede düzenlenen Türklüğü, Cumhuriyeti, Devletin kurum ve organlarını aşağılama suçu açısından temel cezanın 1 yıl veya daha az hapis cezası olarak takdir edilmesi durumunda verilecek özgürlüğü bağlayıcı cezalar, Türk Ceza Kanunu’nun da önleyici herhangi bir düzenleme söz konusu olmadığından Kanunun 50/1.a ve 52/2-3. maddelerine göre adli para cezasına çevrilebilecek, </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Ancak, yasa koyucunun daha az zarar ve tehlike doğurduğunu kabul ederek</w:t>
      </w:r>
      <w:r>
        <w:rPr>
          <w:rFonts w:cs="Times New Roman"/>
          <w:i/>
          <w:sz w:val="24"/>
          <w:szCs w:val="26"/>
        </w:rPr>
        <w:t xml:space="preserve"> </w:t>
      </w:r>
      <w:r w:rsidRPr="001542BA">
        <w:rPr>
          <w:rFonts w:cs="Times New Roman"/>
          <w:i/>
          <w:sz w:val="24"/>
          <w:szCs w:val="26"/>
        </w:rPr>
        <w:t>soruşturmasını ve kovuşturmasını şikayete bağlı kıldığı ve buna bağlı olarak seçimlik ceza</w:t>
      </w:r>
      <w:r>
        <w:rPr>
          <w:rFonts w:cs="Times New Roman"/>
          <w:i/>
          <w:sz w:val="24"/>
          <w:szCs w:val="26"/>
        </w:rPr>
        <w:t xml:space="preserve"> </w:t>
      </w:r>
      <w:r w:rsidRPr="001542BA">
        <w:rPr>
          <w:rFonts w:cs="Times New Roman"/>
          <w:i/>
          <w:sz w:val="24"/>
          <w:szCs w:val="26"/>
        </w:rPr>
        <w:t>düzenlemesi yaptığı Türk Ceza Kanununun 106. maddesinin 1. fıkra 2. cümlesi kapsamındaki tehdit suçunu işleyen sanığa verilecek 1 ay ile 6 ay arasındaki hapis cezası adli para cezasına çevrilemeyecek,</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Yine yasa koyucunun soruşturma ve kovuşturmasını şikayete bağlı tuttuğu</w:t>
      </w:r>
      <w:r>
        <w:rPr>
          <w:rFonts w:cs="Times New Roman"/>
          <w:i/>
          <w:sz w:val="24"/>
          <w:szCs w:val="26"/>
        </w:rPr>
        <w:t xml:space="preserve"> </w:t>
      </w:r>
      <w:r w:rsidRPr="001542BA">
        <w:rPr>
          <w:rFonts w:cs="Times New Roman"/>
          <w:i/>
          <w:sz w:val="24"/>
          <w:szCs w:val="26"/>
        </w:rPr>
        <w:t>Türk Ceza Kanunu’nun 125/l. maddesi kapsamına giren hakaret suçu açısından 3 ay ile 1 yıl arasında temel hapis cezası verilmesi durumunda, hapis cezası adli para cezasına</w:t>
      </w:r>
      <w:r>
        <w:rPr>
          <w:rFonts w:cs="Times New Roman"/>
          <w:i/>
          <w:sz w:val="24"/>
          <w:szCs w:val="26"/>
        </w:rPr>
        <w:t xml:space="preserve"> </w:t>
      </w:r>
      <w:r w:rsidRPr="001542BA">
        <w:rPr>
          <w:rFonts w:cs="Times New Roman"/>
          <w:i/>
          <w:sz w:val="24"/>
          <w:szCs w:val="26"/>
        </w:rPr>
        <w:t>çevrilemeyecektir.</w:t>
      </w:r>
    </w:p>
    <w:p w:rsidR="001542BA" w:rsidRDefault="001542BA" w:rsidP="001542BA">
      <w:pPr>
        <w:pStyle w:val="Gvdemetni7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Varılan bu sonuç, yasada öngörülen suçlar arasındaki ağır-hafif</w:t>
      </w:r>
      <w:r>
        <w:rPr>
          <w:rFonts w:cs="Times New Roman"/>
          <w:i/>
          <w:sz w:val="24"/>
          <w:szCs w:val="26"/>
        </w:rPr>
        <w:t xml:space="preserve"> </w:t>
      </w:r>
      <w:r w:rsidRPr="001542BA">
        <w:rPr>
          <w:rFonts w:cs="Times New Roman"/>
          <w:i/>
          <w:sz w:val="24"/>
          <w:szCs w:val="26"/>
        </w:rPr>
        <w:t>değerlendirmesine aykırı sonuçlar doğurduğu gibi, suç ile ceza arasında bulunması</w:t>
      </w:r>
      <w:r>
        <w:rPr>
          <w:rFonts w:cs="Times New Roman"/>
          <w:i/>
          <w:sz w:val="24"/>
          <w:szCs w:val="26"/>
        </w:rPr>
        <w:t xml:space="preserve"> </w:t>
      </w:r>
      <w:r w:rsidRPr="001542BA">
        <w:rPr>
          <w:rFonts w:cs="Times New Roman"/>
          <w:i/>
          <w:sz w:val="24"/>
          <w:szCs w:val="26"/>
        </w:rPr>
        <w:t>gereken dengeyi koruyamamış olduğundan, hak ve adalet duygularını zedelemiş ve bu</w:t>
      </w:r>
      <w:r>
        <w:rPr>
          <w:rFonts w:cs="Times New Roman"/>
          <w:i/>
          <w:sz w:val="24"/>
          <w:szCs w:val="26"/>
        </w:rPr>
        <w:t xml:space="preserve"> </w:t>
      </w:r>
      <w:r w:rsidRPr="001542BA">
        <w:rPr>
          <w:rFonts w:cs="Times New Roman"/>
          <w:i/>
          <w:sz w:val="24"/>
          <w:szCs w:val="26"/>
        </w:rPr>
        <w:t>nedenle Anayasanın 2. maddesinde düzenlenmiş hukuk devleti ilkesine aykırı sonuçlar</w:t>
      </w:r>
      <w:r>
        <w:rPr>
          <w:rFonts w:cs="Times New Roman"/>
          <w:i/>
          <w:sz w:val="24"/>
          <w:szCs w:val="26"/>
        </w:rPr>
        <w:t xml:space="preserve"> </w:t>
      </w:r>
      <w:r w:rsidRPr="001542BA">
        <w:rPr>
          <w:rFonts w:cs="Times New Roman"/>
          <w:i/>
          <w:sz w:val="24"/>
          <w:szCs w:val="26"/>
        </w:rPr>
        <w:t>doğmuş olduğu gibi,</w:t>
      </w:r>
    </w:p>
    <w:p w:rsidR="001542BA" w:rsidRDefault="001542BA" w:rsidP="001542BA">
      <w:pPr>
        <w:pStyle w:val="Gvdemetni7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lastRenderedPageBreak/>
        <w:t>Her ikisi de mükerrir olan iki ayrı sanık hakkında yapılacak uygulamaların</w:t>
      </w:r>
      <w:r>
        <w:rPr>
          <w:rFonts w:cs="Times New Roman"/>
          <w:i/>
          <w:sz w:val="24"/>
          <w:szCs w:val="26"/>
        </w:rPr>
        <w:t xml:space="preserve"> </w:t>
      </w:r>
      <w:r w:rsidRPr="001542BA">
        <w:rPr>
          <w:rFonts w:cs="Times New Roman"/>
          <w:i/>
          <w:sz w:val="24"/>
          <w:szCs w:val="26"/>
        </w:rPr>
        <w:t>birbiriyle açıkça çelişmesi ve farklılık oluşturması nedeniyle Anayasanın l0. maddesinde</w:t>
      </w:r>
      <w:r>
        <w:rPr>
          <w:rFonts w:cs="Times New Roman"/>
          <w:i/>
          <w:sz w:val="24"/>
          <w:szCs w:val="26"/>
        </w:rPr>
        <w:t xml:space="preserve"> </w:t>
      </w:r>
      <w:r w:rsidRPr="001542BA">
        <w:rPr>
          <w:rFonts w:cs="Times New Roman"/>
          <w:i/>
          <w:sz w:val="24"/>
          <w:szCs w:val="26"/>
        </w:rPr>
        <w:t>düzenlenmiş eşitlik ilkesine de aykırı sonuçlar doğmaktadır.</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Yukarıda açıklanan nedenlerle, 5237 sayılı Türk Ceza Kanunu’nun</w:t>
      </w:r>
      <w:r>
        <w:rPr>
          <w:rFonts w:cs="Times New Roman"/>
          <w:i/>
          <w:sz w:val="24"/>
          <w:szCs w:val="26"/>
        </w:rPr>
        <w:t xml:space="preserve"> </w:t>
      </w:r>
      <w:r w:rsidRPr="001542BA">
        <w:rPr>
          <w:rFonts w:cs="Times New Roman"/>
          <w:i/>
          <w:sz w:val="24"/>
          <w:szCs w:val="26"/>
        </w:rPr>
        <w:t>50. maddesinin 2. fıkrası hükmü ve aynı Kanunun 58. maddesinin 3. fıkralarının birlikte</w:t>
      </w:r>
      <w:r>
        <w:rPr>
          <w:rFonts w:cs="Times New Roman"/>
          <w:i/>
          <w:sz w:val="24"/>
          <w:szCs w:val="26"/>
        </w:rPr>
        <w:t xml:space="preserve"> </w:t>
      </w:r>
      <w:r w:rsidRPr="001542BA">
        <w:rPr>
          <w:rFonts w:cs="Times New Roman"/>
          <w:i/>
          <w:sz w:val="24"/>
          <w:szCs w:val="26"/>
        </w:rPr>
        <w:t>uygulanma koşullarının oluştuğu durumlarla sınırlı olarak yapılan incelemede Anayasanın 2. ve 10. maddelerine aykırı oldukları anlaşılmakla,</w:t>
      </w:r>
    </w:p>
    <w:p w:rsidR="001542BA" w:rsidRDefault="001542BA" w:rsidP="001542BA">
      <w:pPr>
        <w:pStyle w:val="Gvdemetni0"/>
        <w:shd w:val="clear" w:color="auto" w:fill="auto"/>
        <w:spacing w:before="100" w:beforeAutospacing="1" w:after="100" w:afterAutospacing="1" w:line="240" w:lineRule="auto"/>
        <w:ind w:firstLine="709"/>
        <w:rPr>
          <w:rFonts w:cs="Times New Roman"/>
          <w:i/>
          <w:sz w:val="24"/>
          <w:szCs w:val="26"/>
        </w:rPr>
      </w:pPr>
      <w:r w:rsidRPr="001542BA">
        <w:rPr>
          <w:rFonts w:cs="Times New Roman"/>
          <w:i/>
          <w:sz w:val="24"/>
          <w:szCs w:val="26"/>
        </w:rPr>
        <w:t>Anayasa’nın 152/1. maddesi gereğince itiraz yoluyla Anayasa Mahkemesine başvurulmasına ve 152/3. maddedeki düzenleme gereğince 5 ay süreyle başvuru sonucunun beklenmesine karar verilmiştir.”</w:t>
      </w:r>
    </w:p>
    <w:sectPr w:rsidR="001542BA" w:rsidSect="001542BA">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A6" w:rsidRDefault="00D45FA6" w:rsidP="001542BA">
      <w:pPr>
        <w:spacing w:after="0" w:line="240" w:lineRule="auto"/>
      </w:pPr>
      <w:r>
        <w:separator/>
      </w:r>
    </w:p>
  </w:endnote>
  <w:endnote w:type="continuationSeparator" w:id="0">
    <w:p w:rsidR="00D45FA6" w:rsidRDefault="00D45FA6" w:rsidP="00154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BA" w:rsidRDefault="001542BA" w:rsidP="00B0099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42BA" w:rsidRDefault="001542BA" w:rsidP="001542B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BA" w:rsidRPr="001542BA" w:rsidRDefault="001542BA" w:rsidP="00B00999">
    <w:pPr>
      <w:pStyle w:val="Altbilgi"/>
      <w:framePr w:wrap="around" w:vAnchor="text" w:hAnchor="margin" w:xAlign="right" w:y="1"/>
      <w:rPr>
        <w:rStyle w:val="SayfaNumaras"/>
        <w:rFonts w:ascii="Times New Roman" w:hAnsi="Times New Roman"/>
      </w:rPr>
    </w:pPr>
    <w:r w:rsidRPr="001542BA">
      <w:rPr>
        <w:rStyle w:val="SayfaNumaras"/>
        <w:rFonts w:ascii="Times New Roman" w:hAnsi="Times New Roman"/>
      </w:rPr>
      <w:fldChar w:fldCharType="begin"/>
    </w:r>
    <w:r w:rsidRPr="001542BA">
      <w:rPr>
        <w:rStyle w:val="SayfaNumaras"/>
        <w:rFonts w:ascii="Times New Roman" w:hAnsi="Times New Roman"/>
      </w:rPr>
      <w:instrText xml:space="preserve">PAGE  </w:instrText>
    </w:r>
    <w:r w:rsidRPr="001542BA">
      <w:rPr>
        <w:rStyle w:val="SayfaNumaras"/>
        <w:rFonts w:ascii="Times New Roman" w:hAnsi="Times New Roman"/>
      </w:rPr>
      <w:fldChar w:fldCharType="separate"/>
    </w:r>
    <w:r>
      <w:rPr>
        <w:rStyle w:val="SayfaNumaras"/>
        <w:rFonts w:ascii="Times New Roman" w:hAnsi="Times New Roman"/>
        <w:noProof/>
      </w:rPr>
      <w:t>1</w:t>
    </w:r>
    <w:r w:rsidRPr="001542BA">
      <w:rPr>
        <w:rStyle w:val="SayfaNumaras"/>
        <w:rFonts w:ascii="Times New Roman" w:hAnsi="Times New Roman"/>
      </w:rPr>
      <w:fldChar w:fldCharType="end"/>
    </w:r>
  </w:p>
  <w:p w:rsidR="001542BA" w:rsidRPr="001542BA" w:rsidRDefault="001542BA" w:rsidP="001542BA">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A6" w:rsidRDefault="00D45FA6" w:rsidP="001542BA">
      <w:pPr>
        <w:spacing w:after="0" w:line="240" w:lineRule="auto"/>
      </w:pPr>
      <w:r>
        <w:separator/>
      </w:r>
    </w:p>
  </w:footnote>
  <w:footnote w:type="continuationSeparator" w:id="0">
    <w:p w:rsidR="00D45FA6" w:rsidRDefault="00D45FA6" w:rsidP="00154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BA" w:rsidRPr="00220FBD" w:rsidRDefault="001542BA" w:rsidP="001542BA">
    <w:pPr>
      <w:shd w:val="clear" w:color="auto" w:fill="FFFFFF"/>
      <w:spacing w:after="0" w:line="240" w:lineRule="auto"/>
      <w:jc w:val="both"/>
      <w:rPr>
        <w:rFonts w:ascii="Times New Roman" w:hAnsi="Times New Roman"/>
        <w:b/>
        <w:color w:val="000000"/>
        <w:sz w:val="24"/>
        <w:szCs w:val="26"/>
      </w:rPr>
    </w:pPr>
    <w:r w:rsidRPr="00220FBD">
      <w:rPr>
        <w:rFonts w:ascii="Times New Roman" w:hAnsi="Times New Roman"/>
        <w:b/>
        <w:color w:val="000000"/>
        <w:sz w:val="24"/>
        <w:szCs w:val="26"/>
      </w:rPr>
      <w:t>Esas Sayısı</w:t>
    </w:r>
    <w:r>
      <w:rPr>
        <w:rFonts w:ascii="Times New Roman" w:hAnsi="Times New Roman"/>
        <w:b/>
        <w:color w:val="000000"/>
        <w:sz w:val="24"/>
        <w:szCs w:val="26"/>
      </w:rPr>
      <w:t xml:space="preserve"> </w:t>
    </w:r>
    <w:r w:rsidRPr="00220FBD">
      <w:rPr>
        <w:rFonts w:ascii="Times New Roman" w:hAnsi="Times New Roman"/>
        <w:b/>
        <w:color w:val="000000"/>
        <w:sz w:val="24"/>
        <w:szCs w:val="26"/>
      </w:rPr>
      <w:t>:</w:t>
    </w:r>
    <w:r>
      <w:rPr>
        <w:rFonts w:ascii="Times New Roman" w:hAnsi="Times New Roman"/>
        <w:b/>
        <w:color w:val="000000"/>
        <w:sz w:val="24"/>
        <w:szCs w:val="26"/>
      </w:rPr>
      <w:t xml:space="preserve"> </w:t>
    </w:r>
    <w:r w:rsidRPr="00220FBD">
      <w:rPr>
        <w:rFonts w:ascii="Times New Roman" w:hAnsi="Times New Roman"/>
        <w:b/>
        <w:color w:val="000000"/>
        <w:sz w:val="24"/>
        <w:szCs w:val="26"/>
      </w:rPr>
      <w:t>2015/70</w:t>
    </w:r>
  </w:p>
  <w:p w:rsidR="001542BA" w:rsidRPr="00220FBD" w:rsidRDefault="001542BA" w:rsidP="001542BA">
    <w:pPr>
      <w:shd w:val="clear" w:color="auto" w:fill="FFFFFF"/>
      <w:spacing w:after="0" w:line="240" w:lineRule="auto"/>
      <w:jc w:val="both"/>
      <w:rPr>
        <w:rFonts w:ascii="Times New Roman" w:hAnsi="Times New Roman"/>
        <w:b/>
        <w:color w:val="000000"/>
        <w:sz w:val="24"/>
        <w:szCs w:val="26"/>
      </w:rPr>
    </w:pPr>
    <w:r w:rsidRPr="00220FBD">
      <w:rPr>
        <w:rFonts w:ascii="Times New Roman" w:hAnsi="Times New Roman"/>
        <w:b/>
        <w:color w:val="000000"/>
        <w:sz w:val="24"/>
        <w:szCs w:val="26"/>
      </w:rPr>
      <w:t>Karar Sayısı</w:t>
    </w:r>
    <w:r>
      <w:rPr>
        <w:rFonts w:ascii="Times New Roman" w:hAnsi="Times New Roman"/>
        <w:b/>
        <w:color w:val="000000"/>
        <w:sz w:val="24"/>
        <w:szCs w:val="26"/>
      </w:rPr>
      <w:t xml:space="preserve"> </w:t>
    </w:r>
    <w:r w:rsidRPr="00220FBD">
      <w:rPr>
        <w:rFonts w:ascii="Times New Roman" w:hAnsi="Times New Roman"/>
        <w:b/>
        <w:color w:val="000000"/>
        <w:sz w:val="24"/>
        <w:szCs w:val="26"/>
      </w:rPr>
      <w:t>: 2015/70</w:t>
    </w:r>
  </w:p>
  <w:p w:rsidR="001542BA" w:rsidRPr="001542BA" w:rsidRDefault="001542BA" w:rsidP="001542B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BA"/>
    <w:rsid w:val="001542BA"/>
    <w:rsid w:val="00CE1FB9"/>
    <w:rsid w:val="00D45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2D6E7-6346-4E74-92D4-0519BE09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2BA"/>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542BA"/>
    <w:rPr>
      <w:rFonts w:ascii="Times New Roman" w:hAnsi="Times New Roman"/>
      <w:spacing w:val="-2"/>
      <w:shd w:val="clear" w:color="auto" w:fill="FFFFFF"/>
    </w:rPr>
  </w:style>
  <w:style w:type="paragraph" w:customStyle="1" w:styleId="Gvdemetni0">
    <w:name w:val="Gövde metni"/>
    <w:basedOn w:val="Normal"/>
    <w:link w:val="Gvdemetni"/>
    <w:rsid w:val="001542BA"/>
    <w:pPr>
      <w:shd w:val="clear" w:color="auto" w:fill="FFFFFF"/>
      <w:spacing w:after="0" w:line="235" w:lineRule="exact"/>
      <w:jc w:val="both"/>
    </w:pPr>
    <w:rPr>
      <w:rFonts w:ascii="Times New Roman" w:eastAsiaTheme="minorHAnsi" w:hAnsi="Times New Roman" w:cstheme="minorBidi"/>
      <w:spacing w:val="-2"/>
      <w:lang w:eastAsia="en-US"/>
    </w:rPr>
  </w:style>
  <w:style w:type="character" w:customStyle="1" w:styleId="Gvdemetni7">
    <w:name w:val="Gövde metni (7)_"/>
    <w:basedOn w:val="VarsaylanParagrafYazTipi"/>
    <w:link w:val="Gvdemetni70"/>
    <w:rsid w:val="001542BA"/>
    <w:rPr>
      <w:rFonts w:ascii="Times New Roman" w:hAnsi="Times New Roman"/>
      <w:spacing w:val="-4"/>
      <w:shd w:val="clear" w:color="auto" w:fill="FFFFFF"/>
    </w:rPr>
  </w:style>
  <w:style w:type="character" w:customStyle="1" w:styleId="Gvdemetni7KalnDeiltalikdeil">
    <w:name w:val="Gövde metni (7) + Kalın Değil;İtalik değil"/>
    <w:basedOn w:val="Gvdemetni7"/>
    <w:rsid w:val="001542BA"/>
    <w:rPr>
      <w:rFonts w:ascii="Times New Roman" w:hAnsi="Times New Roman"/>
      <w:b/>
      <w:bCs/>
      <w:i/>
      <w:iCs/>
      <w:spacing w:val="-2"/>
      <w:shd w:val="clear" w:color="auto" w:fill="FFFFFF"/>
    </w:rPr>
  </w:style>
  <w:style w:type="paragraph" w:customStyle="1" w:styleId="Gvdemetni70">
    <w:name w:val="Gövde metni (7)"/>
    <w:basedOn w:val="Normal"/>
    <w:link w:val="Gvdemetni7"/>
    <w:rsid w:val="001542BA"/>
    <w:pPr>
      <w:shd w:val="clear" w:color="auto" w:fill="FFFFFF"/>
      <w:spacing w:after="0" w:line="269" w:lineRule="exact"/>
      <w:jc w:val="both"/>
    </w:pPr>
    <w:rPr>
      <w:rFonts w:ascii="Times New Roman" w:eastAsiaTheme="minorHAnsi" w:hAnsi="Times New Roman" w:cstheme="minorBidi"/>
      <w:spacing w:val="-4"/>
      <w:lang w:eastAsia="en-US"/>
    </w:rPr>
  </w:style>
  <w:style w:type="character" w:customStyle="1" w:styleId="Gvdemetni8">
    <w:name w:val="Gövde metni (8)_"/>
    <w:basedOn w:val="VarsaylanParagrafYazTipi"/>
    <w:link w:val="Gvdemetni80"/>
    <w:rsid w:val="001542BA"/>
    <w:rPr>
      <w:rFonts w:ascii="Times New Roman" w:hAnsi="Times New Roman"/>
      <w:spacing w:val="-3"/>
      <w:shd w:val="clear" w:color="auto" w:fill="FFFFFF"/>
    </w:rPr>
  </w:style>
  <w:style w:type="paragraph" w:customStyle="1" w:styleId="Gvdemetni80">
    <w:name w:val="Gövde metni (8)"/>
    <w:basedOn w:val="Normal"/>
    <w:link w:val="Gvdemetni8"/>
    <w:rsid w:val="001542BA"/>
    <w:pPr>
      <w:shd w:val="clear" w:color="auto" w:fill="FFFFFF"/>
      <w:spacing w:after="0" w:line="266" w:lineRule="exact"/>
      <w:jc w:val="both"/>
    </w:pPr>
    <w:rPr>
      <w:rFonts w:ascii="Times New Roman" w:eastAsiaTheme="minorHAnsi" w:hAnsi="Times New Roman" w:cstheme="minorBidi"/>
      <w:spacing w:val="-3"/>
      <w:lang w:eastAsia="en-US"/>
    </w:rPr>
  </w:style>
  <w:style w:type="character" w:customStyle="1" w:styleId="GvdemetniKalntalik">
    <w:name w:val="Gövde metni + Kalın;İtalik"/>
    <w:basedOn w:val="Gvdemetni"/>
    <w:rsid w:val="001542BA"/>
    <w:rPr>
      <w:rFonts w:ascii="Times New Roman" w:eastAsia="Times New Roman" w:hAnsi="Times New Roman" w:cs="Times New Roman"/>
      <w:b/>
      <w:bCs/>
      <w:i/>
      <w:iCs/>
      <w:smallCaps w:val="0"/>
      <w:strike w:val="0"/>
      <w:spacing w:val="-4"/>
      <w:shd w:val="clear" w:color="auto" w:fill="FFFFFF"/>
    </w:rPr>
  </w:style>
  <w:style w:type="paragraph" w:styleId="stbilgi">
    <w:name w:val="header"/>
    <w:basedOn w:val="Normal"/>
    <w:link w:val="stbilgiChar"/>
    <w:uiPriority w:val="99"/>
    <w:unhideWhenUsed/>
    <w:rsid w:val="001542B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42BA"/>
    <w:rPr>
      <w:rFonts w:ascii="Calibri" w:eastAsia="Times New Roman" w:hAnsi="Calibri" w:cs="Times New Roman"/>
      <w:lang w:eastAsia="tr-TR"/>
    </w:rPr>
  </w:style>
  <w:style w:type="paragraph" w:styleId="Altbilgi">
    <w:name w:val="footer"/>
    <w:basedOn w:val="Normal"/>
    <w:link w:val="AltbilgiChar"/>
    <w:uiPriority w:val="99"/>
    <w:unhideWhenUsed/>
    <w:rsid w:val="001542B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42BA"/>
    <w:rPr>
      <w:rFonts w:ascii="Calibri" w:eastAsia="Times New Roman" w:hAnsi="Calibri" w:cs="Times New Roman"/>
      <w:lang w:eastAsia="tr-TR"/>
    </w:rPr>
  </w:style>
  <w:style w:type="character" w:styleId="SayfaNumaras">
    <w:name w:val="page number"/>
    <w:basedOn w:val="VarsaylanParagrafYazTipi"/>
    <w:uiPriority w:val="99"/>
    <w:semiHidden/>
    <w:unhideWhenUsed/>
    <w:rsid w:val="00154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1446</Words>
  <Characters>8247</Characters>
  <Application>Microsoft Office Word</Application>
  <DocSecurity>0</DocSecurity>
  <Lines>68</Lines>
  <Paragraphs>19</Paragraphs>
  <ScaleCrop>false</ScaleCrop>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2019-02-28T11:39:00Z</dcterms:created>
  <dcterms:modified xsi:type="dcterms:W3CDTF">2019-02-28T11:42:00Z</dcterms:modified>
</cp:coreProperties>
</file>