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 xml:space="preserve">“Mahkememizde görülmekte olan icra memur muamelesini </w:t>
      </w:r>
      <w:proofErr w:type="gramStart"/>
      <w:r w:rsidRPr="007F48C7">
        <w:rPr>
          <w:rFonts w:ascii="Times New Roman" w:hAnsi="Times New Roman" w:cs="Times New Roman"/>
          <w:i/>
          <w:sz w:val="24"/>
          <w:szCs w:val="26"/>
        </w:rPr>
        <w:t>şikayete</w:t>
      </w:r>
      <w:proofErr w:type="gramEnd"/>
      <w:r w:rsidRPr="007F48C7">
        <w:rPr>
          <w:rFonts w:ascii="Times New Roman" w:hAnsi="Times New Roman" w:cs="Times New Roman"/>
          <w:i/>
          <w:sz w:val="24"/>
          <w:szCs w:val="26"/>
        </w:rPr>
        <w:t xml:space="preserve"> dayalı davada, davacı belediyenin mallarına haciz konulduğu ve davacı belediyenin bu hacizlerin kaldırılması talepli dava açtığı anlaşılmıştır. Dava devam etmekte iken </w:t>
      </w:r>
      <w:proofErr w:type="gramStart"/>
      <w:r w:rsidRPr="007F48C7">
        <w:rPr>
          <w:rFonts w:ascii="Times New Roman" w:hAnsi="Times New Roman" w:cs="Times New Roman"/>
          <w:i/>
          <w:sz w:val="24"/>
          <w:szCs w:val="26"/>
        </w:rPr>
        <w:t>11/09/015</w:t>
      </w:r>
      <w:proofErr w:type="gramEnd"/>
      <w:r w:rsidRPr="007F48C7">
        <w:rPr>
          <w:rFonts w:ascii="Times New Roman" w:hAnsi="Times New Roman" w:cs="Times New Roman"/>
          <w:i/>
          <w:sz w:val="24"/>
          <w:szCs w:val="26"/>
        </w:rPr>
        <w:t xml:space="preserve"> tarih ve 6552 sayılı yasa ile 5393 sayıl Belediye Kanununa “ İcra dairesince haciz kararı alınmadan önce belediyeden borca yeter miktarda haczedilebilecek mal gösterilmesi istenir ve haciz işlemi sadece gösterilen bu mal üzerine uygulanır. On gün içinde yeterli mal beyan edilmemesi durumunda yapılacak haciz işlemi, alacak miktarını aşacak veya kamu hizmetlerini aksatacak şekilde yapılamaz.” hükmü eklenmiştir.</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Ayrıca 6552 sayılı yasa ile yine 5393 sayılı yasaya “15 inci maddenin son fıkrası hükümleri, devam eden her türlü icra takipleri hakkında da uygulanır. Bu maddenin yürürlük tarihinden önce yapılmış icra takipleri gereğince konulan tüm hacizler, söz konusu fıkra hükümleri dikkate alınarak kaldırılır.” hükmünü içerir geçici madde eklenmiştir.</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 xml:space="preserve">Bu kanunların Anayasaya aykırı olduğu yönündeki Anayasaya aykırılık itirazımız </w:t>
      </w:r>
      <w:proofErr w:type="gramStart"/>
      <w:r w:rsidRPr="007F48C7">
        <w:rPr>
          <w:rFonts w:ascii="Times New Roman" w:hAnsi="Times New Roman" w:cs="Times New Roman"/>
          <w:i/>
          <w:sz w:val="24"/>
          <w:szCs w:val="26"/>
        </w:rPr>
        <w:t>sayın</w:t>
      </w:r>
      <w:proofErr w:type="gramEnd"/>
      <w:r w:rsidRPr="007F48C7">
        <w:rPr>
          <w:rFonts w:ascii="Times New Roman" w:hAnsi="Times New Roman" w:cs="Times New Roman"/>
          <w:i/>
          <w:sz w:val="24"/>
          <w:szCs w:val="26"/>
        </w:rPr>
        <w:t xml:space="preserve"> Mahkemece itirazın usulüne uygun olmadığı ve ilgili kanunun anayasanın hangi maddelerine aykırı olduğunun açıklanmadığı ve gerekçede yazılmadığı gerekçesiyle geri çevrilmiştir fakat Mahkememiz bu kanunların neden Anayasaya aykırı olduğunu açıklamıştır.</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Mahkememiz gerekçesi “Anayasaya aykırılık itirazında bulunulan kanun Belediyelere borcunu ödeme konusunda Hukuk Devletinde olmaması gereken şekilde keyfi davranma yetkisi vermektedir. Kanun açıkça Anayasaya aykırıdır, Hukuk Devletinde İdare de Mahkeme kararlarına uymak zorundadır. İdare'nin kaybettiği davada mahkeme kararının uygulanmasını engelleyen veya geciktiren kanunun Anayasaya aykırı olduğu açıktır. Bu nedenle davalı vekilinin itirazı haklı ve yerindedir. Bu gerekçelerle kanunun Anayasaya aykırılığını incelenmesi ve iptali için dosyanın Anayasa Mahkemesine gönderilmesine karar verilmiştir.” şeklindedir.</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Açıkça belirtildiği üzere Hukuk Devletinde idarenin borcunu istediğinde ödeyip istemediğinde ödememesine olanak tanıyan kanunlar veya uygulamalar kabul edilemez. Bu Hukuk Devletinde kabul edilemez bir durumdur. Meclis çıkardığı kanunlar ile belediyelere borcunu ödeme konusunda keyfi davranmaya sebep olacak bir yetki vermektedir. Hukuk Devletinde Mahkeme karşısında Devlet ve vatandaş eşittir.</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Bu kanunun Anayasanın hangi maddesine ayları olduğu hususuna gelince, öncelikle bir madde belirtme zorunluluğu yoktur. Uygulama evrensel hukuk ilkelerine aykırıdır. Ayrıca daha öncede belirtildiği gibi Hukuk Devleti İlkesine aykırıdır. Türkiye Cumhuriyeti devletinin de Hukuk Devleti olduğu anayasamızda hüküm altına alınmıştır.</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 xml:space="preserve">Bu gerekçelerle Hukuk Devleti İlkesine aykırı kanunun </w:t>
      </w:r>
      <w:proofErr w:type="gramStart"/>
      <w:r w:rsidRPr="007F48C7">
        <w:rPr>
          <w:rFonts w:ascii="Times New Roman" w:hAnsi="Times New Roman" w:cs="Times New Roman"/>
          <w:i/>
          <w:sz w:val="24"/>
          <w:szCs w:val="26"/>
        </w:rPr>
        <w:t>iptali  gerekmektedir</w:t>
      </w:r>
      <w:proofErr w:type="gramEnd"/>
      <w:r w:rsidRPr="007F48C7">
        <w:rPr>
          <w:rFonts w:ascii="Times New Roman" w:hAnsi="Times New Roman" w:cs="Times New Roman"/>
          <w:i/>
          <w:sz w:val="24"/>
          <w:szCs w:val="26"/>
        </w:rPr>
        <w:t xml:space="preserve">. </w:t>
      </w:r>
    </w:p>
    <w:p w:rsid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G.D.</w:t>
      </w:r>
    </w:p>
    <w:p w:rsidR="00CE1FB9" w:rsidRPr="007F48C7" w:rsidRDefault="007F48C7" w:rsidP="007F48C7">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7F48C7">
        <w:rPr>
          <w:rFonts w:ascii="Times New Roman" w:hAnsi="Times New Roman" w:cs="Times New Roman"/>
          <w:i/>
          <w:sz w:val="24"/>
          <w:szCs w:val="26"/>
        </w:rPr>
        <w:t xml:space="preserve">Mahkememizin </w:t>
      </w:r>
      <w:proofErr w:type="gramStart"/>
      <w:r w:rsidRPr="007F48C7">
        <w:rPr>
          <w:rFonts w:ascii="Times New Roman" w:hAnsi="Times New Roman" w:cs="Times New Roman"/>
          <w:i/>
          <w:sz w:val="24"/>
          <w:szCs w:val="26"/>
        </w:rPr>
        <w:t>04/06/2015</w:t>
      </w:r>
      <w:proofErr w:type="gramEnd"/>
      <w:r w:rsidRPr="007F48C7">
        <w:rPr>
          <w:rFonts w:ascii="Times New Roman" w:hAnsi="Times New Roman" w:cs="Times New Roman"/>
          <w:i/>
          <w:sz w:val="24"/>
          <w:szCs w:val="26"/>
        </w:rPr>
        <w:t xml:space="preserve"> tarihli celsesinde alınan karar gereğince ilgili Kanunun Anayasaya aykırılığının Anayasa Mahkemesince incelenmesi için dosyanın Anayasa Mahkemesine gönderilmesine karar verildi.”</w:t>
      </w:r>
      <w:r w:rsidRPr="007F48C7">
        <w:rPr>
          <w:rFonts w:ascii="Times New Roman" w:hAnsi="Times New Roman" w:cs="Times New Roman"/>
          <w:i/>
          <w:sz w:val="24"/>
          <w:szCs w:val="26"/>
        </w:rPr>
        <w:t>"</w:t>
      </w:r>
      <w:bookmarkStart w:id="0" w:name="_GoBack"/>
      <w:bookmarkEnd w:id="0"/>
    </w:p>
    <w:sectPr w:rsidR="00CE1FB9" w:rsidRPr="007F48C7" w:rsidSect="007F48C7">
      <w:headerReference w:type="default" r:id="rId6"/>
      <w:footerReference w:type="even"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E6F" w:rsidRDefault="00914E6F" w:rsidP="007F48C7">
      <w:r>
        <w:separator/>
      </w:r>
    </w:p>
  </w:endnote>
  <w:endnote w:type="continuationSeparator" w:id="0">
    <w:p w:rsidR="00914E6F" w:rsidRDefault="00914E6F" w:rsidP="007F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C7" w:rsidRDefault="007F48C7" w:rsidP="007301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4C11" w:rsidRDefault="00914E6F" w:rsidP="007F48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C7" w:rsidRPr="007F48C7" w:rsidRDefault="007F48C7" w:rsidP="00730146">
    <w:pPr>
      <w:pStyle w:val="Altbilgi"/>
      <w:framePr w:wrap="around" w:vAnchor="text" w:hAnchor="margin" w:xAlign="right" w:y="1"/>
      <w:rPr>
        <w:rStyle w:val="SayfaNumaras"/>
      </w:rPr>
    </w:pPr>
    <w:r w:rsidRPr="007F48C7">
      <w:rPr>
        <w:rStyle w:val="SayfaNumaras"/>
      </w:rPr>
      <w:fldChar w:fldCharType="begin"/>
    </w:r>
    <w:r w:rsidRPr="007F48C7">
      <w:rPr>
        <w:rStyle w:val="SayfaNumaras"/>
      </w:rPr>
      <w:instrText xml:space="preserve">PAGE  </w:instrText>
    </w:r>
    <w:r w:rsidRPr="007F48C7">
      <w:rPr>
        <w:rStyle w:val="SayfaNumaras"/>
      </w:rPr>
      <w:fldChar w:fldCharType="separate"/>
    </w:r>
    <w:r>
      <w:rPr>
        <w:rStyle w:val="SayfaNumaras"/>
        <w:noProof/>
      </w:rPr>
      <w:t>1</w:t>
    </w:r>
    <w:r w:rsidRPr="007F48C7">
      <w:rPr>
        <w:rStyle w:val="SayfaNumaras"/>
      </w:rPr>
      <w:fldChar w:fldCharType="end"/>
    </w:r>
  </w:p>
  <w:p w:rsidR="00BE4C11" w:rsidRPr="007F48C7" w:rsidRDefault="00914E6F" w:rsidP="007F48C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E6F" w:rsidRDefault="00914E6F" w:rsidP="007F48C7">
      <w:r>
        <w:separator/>
      </w:r>
    </w:p>
  </w:footnote>
  <w:footnote w:type="continuationSeparator" w:id="0">
    <w:p w:rsidR="00914E6F" w:rsidRDefault="00914E6F" w:rsidP="007F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8C7" w:rsidRPr="000E2005" w:rsidRDefault="007F48C7" w:rsidP="007F48C7">
    <w:pPr>
      <w:shd w:val="clear" w:color="auto" w:fill="FFFFFF"/>
      <w:jc w:val="both"/>
      <w:rPr>
        <w:b/>
        <w:bCs/>
        <w:color w:val="000000"/>
        <w:szCs w:val="26"/>
      </w:rPr>
    </w:pPr>
    <w:r w:rsidRPr="000E2005">
      <w:rPr>
        <w:b/>
        <w:bCs/>
        <w:color w:val="000000"/>
        <w:szCs w:val="26"/>
      </w:rPr>
      <w:t xml:space="preserve">Esas </w:t>
    </w:r>
    <w:proofErr w:type="gramStart"/>
    <w:r w:rsidRPr="000E2005">
      <w:rPr>
        <w:b/>
        <w:bCs/>
        <w:color w:val="000000"/>
        <w:szCs w:val="26"/>
      </w:rPr>
      <w:t>Sayısı</w:t>
    </w:r>
    <w:r>
      <w:rPr>
        <w:b/>
        <w:bCs/>
        <w:color w:val="000000"/>
        <w:szCs w:val="26"/>
      </w:rPr>
      <w:t xml:space="preserve"> </w:t>
    </w:r>
    <w:r w:rsidRPr="000E2005">
      <w:rPr>
        <w:b/>
        <w:bCs/>
        <w:color w:val="000000"/>
        <w:szCs w:val="26"/>
      </w:rPr>
      <w:t>:</w:t>
    </w:r>
    <w:r>
      <w:rPr>
        <w:b/>
        <w:bCs/>
        <w:color w:val="000000"/>
        <w:szCs w:val="26"/>
      </w:rPr>
      <w:t xml:space="preserve"> </w:t>
    </w:r>
    <w:r w:rsidRPr="000E2005">
      <w:rPr>
        <w:b/>
        <w:bCs/>
        <w:color w:val="000000"/>
        <w:szCs w:val="26"/>
      </w:rPr>
      <w:t>2015</w:t>
    </w:r>
    <w:proofErr w:type="gramEnd"/>
    <w:r w:rsidRPr="000E2005">
      <w:rPr>
        <w:b/>
        <w:bCs/>
        <w:color w:val="000000"/>
        <w:szCs w:val="26"/>
      </w:rPr>
      <w:t>/64</w:t>
    </w:r>
  </w:p>
  <w:p w:rsidR="007F48C7" w:rsidRPr="000E2005" w:rsidRDefault="007F48C7" w:rsidP="007F48C7">
    <w:pPr>
      <w:shd w:val="clear" w:color="auto" w:fill="FFFFFF"/>
      <w:jc w:val="both"/>
      <w:rPr>
        <w:b/>
        <w:bCs/>
        <w:color w:val="000000"/>
        <w:szCs w:val="26"/>
      </w:rPr>
    </w:pPr>
    <w:r w:rsidRPr="000E2005">
      <w:rPr>
        <w:b/>
        <w:bCs/>
        <w:color w:val="000000"/>
        <w:szCs w:val="26"/>
      </w:rPr>
      <w:t xml:space="preserve">Karar </w:t>
    </w:r>
    <w:proofErr w:type="gramStart"/>
    <w:r w:rsidRPr="000E2005">
      <w:rPr>
        <w:b/>
        <w:bCs/>
        <w:color w:val="000000"/>
        <w:szCs w:val="26"/>
      </w:rPr>
      <w:t>Sayısı : 2015</w:t>
    </w:r>
    <w:proofErr w:type="gramEnd"/>
    <w:r w:rsidRPr="000E2005">
      <w:rPr>
        <w:b/>
        <w:bCs/>
        <w:color w:val="000000"/>
        <w:szCs w:val="26"/>
      </w:rPr>
      <w:t>/65</w:t>
    </w:r>
  </w:p>
  <w:p w:rsidR="00BE4C11" w:rsidRPr="007F48C7" w:rsidRDefault="00914E6F" w:rsidP="007F48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C7"/>
    <w:rsid w:val="007F48C7"/>
    <w:rsid w:val="00914E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2110-642B-4549-BDE9-B6C81CA37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C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7F48C7"/>
    <w:rPr>
      <w:spacing w:val="6"/>
      <w:shd w:val="clear" w:color="auto" w:fill="FFFFFF"/>
    </w:rPr>
  </w:style>
  <w:style w:type="paragraph" w:customStyle="1" w:styleId="Gvdemetni0">
    <w:name w:val="Gövde metni"/>
    <w:basedOn w:val="Normal"/>
    <w:link w:val="Gvdemetni"/>
    <w:rsid w:val="007F48C7"/>
    <w:pPr>
      <w:shd w:val="clear" w:color="auto" w:fill="FFFFFF"/>
      <w:spacing w:before="360" w:after="360" w:line="0" w:lineRule="atLeast"/>
    </w:pPr>
    <w:rPr>
      <w:rFonts w:asciiTheme="minorHAnsi" w:eastAsiaTheme="minorHAnsi" w:hAnsiTheme="minorHAnsi" w:cstheme="minorBidi"/>
      <w:spacing w:val="6"/>
      <w:sz w:val="22"/>
      <w:szCs w:val="22"/>
      <w:lang w:eastAsia="en-US"/>
    </w:rPr>
  </w:style>
  <w:style w:type="paragraph" w:styleId="stbilgi">
    <w:name w:val="header"/>
    <w:basedOn w:val="Normal"/>
    <w:link w:val="stbilgiChar"/>
    <w:uiPriority w:val="99"/>
    <w:rsid w:val="007F48C7"/>
    <w:pPr>
      <w:tabs>
        <w:tab w:val="center" w:pos="4536"/>
        <w:tab w:val="right" w:pos="9072"/>
      </w:tabs>
    </w:pPr>
  </w:style>
  <w:style w:type="character" w:customStyle="1" w:styleId="stbilgiChar">
    <w:name w:val="Üstbilgi Char"/>
    <w:basedOn w:val="VarsaylanParagrafYazTipi"/>
    <w:link w:val="stbilgi"/>
    <w:uiPriority w:val="99"/>
    <w:rsid w:val="007F48C7"/>
    <w:rPr>
      <w:rFonts w:ascii="Times New Roman" w:eastAsia="Times New Roman" w:hAnsi="Times New Roman" w:cs="Times New Roman"/>
      <w:sz w:val="24"/>
      <w:szCs w:val="24"/>
      <w:lang w:eastAsia="tr-TR"/>
    </w:rPr>
  </w:style>
  <w:style w:type="paragraph" w:styleId="Altbilgi">
    <w:name w:val="footer"/>
    <w:basedOn w:val="Normal"/>
    <w:link w:val="AltbilgiChar"/>
    <w:rsid w:val="007F48C7"/>
    <w:pPr>
      <w:tabs>
        <w:tab w:val="center" w:pos="4536"/>
        <w:tab w:val="right" w:pos="9072"/>
      </w:tabs>
    </w:pPr>
  </w:style>
  <w:style w:type="character" w:customStyle="1" w:styleId="AltbilgiChar">
    <w:name w:val="Altbilgi Char"/>
    <w:basedOn w:val="VarsaylanParagrafYazTipi"/>
    <w:link w:val="Altbilgi"/>
    <w:rsid w:val="007F48C7"/>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7F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2019-02-28T10:16:00Z</dcterms:created>
  <dcterms:modified xsi:type="dcterms:W3CDTF">2019-02-28T10:17:00Z</dcterms:modified>
</cp:coreProperties>
</file>