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4C6" w:rsidRPr="007B44C6" w:rsidRDefault="007B44C6" w:rsidP="007B44C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7B44C6">
        <w:rPr>
          <w:rFonts w:ascii="Times New Roman" w:eastAsia="Times New Roman" w:hAnsi="Times New Roman" w:cs="Times New Roman"/>
          <w:b/>
          <w:bCs/>
          <w:color w:val="000000"/>
          <w:sz w:val="24"/>
          <w:lang w:eastAsia="tr-TR"/>
        </w:rPr>
        <w:t>"...</w:t>
      </w:r>
    </w:p>
    <w:p w:rsidR="007B44C6" w:rsidRDefault="007B44C6" w:rsidP="007B44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44C6">
        <w:rPr>
          <w:rFonts w:ascii="Times New Roman" w:eastAsia="Times New Roman" w:hAnsi="Times New Roman" w:cs="Times New Roman"/>
          <w:b/>
          <w:bCs/>
          <w:color w:val="000000"/>
          <w:sz w:val="24"/>
          <w:lang w:eastAsia="tr-TR"/>
        </w:rPr>
        <w:t>II- İTİRAZIN GEREKÇESİ</w:t>
      </w:r>
    </w:p>
    <w:p w:rsidR="007B44C6" w:rsidRDefault="007B44C6" w:rsidP="007B44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r w:rsidRPr="007B44C6">
        <w:rPr>
          <w:rFonts w:ascii="Times New Roman" w:eastAsia="Times New Roman" w:hAnsi="Times New Roman" w:cs="Times New Roman"/>
          <w:color w:val="000000"/>
          <w:sz w:val="24"/>
          <w:szCs w:val="19"/>
          <w:lang w:eastAsia="tr-TR"/>
        </w:rPr>
        <w:t>Başvuru kararının gerekçe bölümü şöyledir:</w:t>
      </w:r>
    </w:p>
    <w:p w:rsidR="007B44C6" w:rsidRPr="007B44C6" w:rsidRDefault="007B44C6" w:rsidP="007B44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44C6">
        <w:rPr>
          <w:rFonts w:ascii="Times New Roman" w:eastAsia="Times New Roman" w:hAnsi="Times New Roman" w:cs="Times New Roman"/>
          <w:color w:val="000000"/>
          <w:sz w:val="24"/>
          <w:szCs w:val="19"/>
          <w:lang w:eastAsia="tr-TR"/>
        </w:rPr>
        <w:t>  </w:t>
      </w:r>
      <w:r w:rsidRPr="007B44C6">
        <w:rPr>
          <w:rFonts w:ascii="Times New Roman" w:eastAsia="Times New Roman" w:hAnsi="Times New Roman" w:cs="Times New Roman"/>
          <w:i/>
          <w:iCs/>
          <w:color w:val="000000"/>
          <w:sz w:val="24"/>
          <w:szCs w:val="19"/>
          <w:lang w:eastAsia="tr-TR"/>
        </w:rPr>
        <w:t>“Normlar hiyerarşisine göre bir anayasal sistemdeki bütün yazılı mevzuat öncelikle Anayasaya uygun olmalıdır.</w:t>
      </w:r>
    </w:p>
    <w:p w:rsidR="007B44C6" w:rsidRPr="007B44C6" w:rsidRDefault="007B44C6" w:rsidP="007B44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44C6">
        <w:rPr>
          <w:rFonts w:ascii="Times New Roman" w:eastAsia="Times New Roman" w:hAnsi="Times New Roman" w:cs="Times New Roman"/>
          <w:i/>
          <w:iCs/>
          <w:color w:val="000000"/>
          <w:sz w:val="24"/>
          <w:szCs w:val="19"/>
          <w:lang w:eastAsia="tr-TR"/>
        </w:rPr>
        <w:t>İtiraz yoluna başvurulan kanun maddesi Anayasanın 2. maddesinde kabul edilen Türkiye Cumhuriyeti’nin temel nitelikleri arasında sayılan “Sosyal Devlet” ilkesi başta olmak üzere, Anayasanın 55. maddesinde yer alan “Ücrette Adaletin Sağlanması” ve 50. maddesinde bahsi geçen “Çalışma Şartları ve Dinlenme Hakkı” başlıklı Anayasa hükümlerine aykırıdır.</w:t>
      </w:r>
    </w:p>
    <w:p w:rsidR="007B44C6" w:rsidRPr="007B44C6" w:rsidRDefault="007B44C6" w:rsidP="007B44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44C6">
        <w:rPr>
          <w:rFonts w:ascii="Times New Roman" w:eastAsia="Times New Roman" w:hAnsi="Times New Roman" w:cs="Times New Roman"/>
          <w:i/>
          <w:iCs/>
          <w:color w:val="000000"/>
          <w:sz w:val="24"/>
          <w:szCs w:val="19"/>
          <w:lang w:eastAsia="tr-TR"/>
        </w:rPr>
        <w:t xml:space="preserve">Davacı davalı işverenin kadrolu işçileri ile aynı işi yaptığını ve fakat farklı ücretler aldığını farklı özlük haklarına sahip olduğunu iddia etmektedir. Bahsi geçen hususta davalı işverenin asıl işe </w:t>
      </w:r>
      <w:proofErr w:type="gramStart"/>
      <w:r w:rsidRPr="007B44C6">
        <w:rPr>
          <w:rFonts w:ascii="Times New Roman" w:eastAsia="Times New Roman" w:hAnsi="Times New Roman" w:cs="Times New Roman"/>
          <w:i/>
          <w:iCs/>
          <w:color w:val="000000"/>
          <w:sz w:val="24"/>
          <w:szCs w:val="19"/>
          <w:lang w:eastAsia="tr-TR"/>
        </w:rPr>
        <w:t>dahil</w:t>
      </w:r>
      <w:proofErr w:type="gramEnd"/>
      <w:r w:rsidRPr="007B44C6">
        <w:rPr>
          <w:rFonts w:ascii="Times New Roman" w:eastAsia="Times New Roman" w:hAnsi="Times New Roman" w:cs="Times New Roman"/>
          <w:i/>
          <w:iCs/>
          <w:color w:val="000000"/>
          <w:sz w:val="24"/>
          <w:szCs w:val="19"/>
          <w:lang w:eastAsia="tr-TR"/>
        </w:rPr>
        <w:t xml:space="preserve"> olsa dahi işin bir kısmını ihale yolu ile alt işverenlere vermesi, taşeron şirket işçilerinin ücretlerinin düşük olmasına, haklarını alamamasına aynı işi yapan işçiler arasında ücret adaletinin sağlanamamasına sebep olmuş ise ilgili hukuka aykırılık bahsi geçen yasal düzenleme ile meşrulaştırılamaz.</w:t>
      </w:r>
    </w:p>
    <w:p w:rsidR="007B44C6" w:rsidRPr="007B44C6" w:rsidRDefault="007B44C6" w:rsidP="007B44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44C6">
        <w:rPr>
          <w:rFonts w:ascii="Times New Roman" w:eastAsia="Times New Roman" w:hAnsi="Times New Roman" w:cs="Times New Roman"/>
          <w:i/>
          <w:iCs/>
          <w:color w:val="000000"/>
          <w:sz w:val="24"/>
          <w:szCs w:val="19"/>
          <w:lang w:eastAsia="tr-TR"/>
        </w:rPr>
        <w:t xml:space="preserve">Bununla birlikte itiraz edilen yasal düzenleme dolaylı olarak ihale yolu ile alt işverenlere verilen işlerde bu işlere uygun olmayan işçilerin çalıştırılmasına da sebep olmaktadır. </w:t>
      </w:r>
      <w:proofErr w:type="gramStart"/>
      <w:r w:rsidRPr="007B44C6">
        <w:rPr>
          <w:rFonts w:ascii="Times New Roman" w:eastAsia="Times New Roman" w:hAnsi="Times New Roman" w:cs="Times New Roman"/>
          <w:i/>
          <w:iCs/>
          <w:color w:val="000000"/>
          <w:sz w:val="24"/>
          <w:szCs w:val="19"/>
          <w:lang w:eastAsia="tr-TR"/>
        </w:rPr>
        <w:t>Ağır ve tehlikeli bir iş kolu olan enerji üretimi işi, işin taşeron şirketlere verilmesi sebebiyle daha ucuz işçi çalıştırma yoluna giden ve kar amacını önde tutan özel taşeron şirketlerin yüklendikleri işi daha ucuz ve niteliksiz iş gücü ile yapmalarını, bu işçilerin de yaptığı işin ciddiyeti, tehlikesi ve sorumluluğunun farkında olmayan, iş güvenliği esaslarına uygun davranmayan işçiler tarafından yapılmasına, özellikle enerji üretimi yapan işyerlerinde ölümlü veya ciddi uzuv kayıplarına sebep olan iş kazalarının çok fazla görülmesine sebep olmaktadır.</w:t>
      </w:r>
      <w:proofErr w:type="gramEnd"/>
    </w:p>
    <w:p w:rsidR="007B44C6" w:rsidRPr="007B44C6" w:rsidRDefault="007B44C6" w:rsidP="007B44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44C6">
        <w:rPr>
          <w:rFonts w:ascii="Times New Roman" w:eastAsia="Times New Roman" w:hAnsi="Times New Roman" w:cs="Times New Roman"/>
          <w:i/>
          <w:iCs/>
          <w:color w:val="000000"/>
          <w:sz w:val="24"/>
          <w:szCs w:val="19"/>
          <w:lang w:eastAsia="tr-TR"/>
        </w:rPr>
        <w:t xml:space="preserve">Enerji Piyasası Kanununun 15/1-g bendi enerji üretimi yapan devlet teşekküllerinin alt işverenle çalışmasını sağlamaktan ziyade, ücret adaletinin sağlanamamasına ve işin niteliğine uygun olmayan işçilerin çalıştırılmasına bu sebeple de iş güvenliği ve işçilik haklarından </w:t>
      </w:r>
      <w:proofErr w:type="gramStart"/>
      <w:r w:rsidRPr="007B44C6">
        <w:rPr>
          <w:rFonts w:ascii="Times New Roman" w:eastAsia="Times New Roman" w:hAnsi="Times New Roman" w:cs="Times New Roman"/>
          <w:i/>
          <w:iCs/>
          <w:color w:val="000000"/>
          <w:sz w:val="24"/>
          <w:szCs w:val="19"/>
          <w:lang w:eastAsia="tr-TR"/>
        </w:rPr>
        <w:t>yoksun</w:t>
      </w:r>
      <w:proofErr w:type="gramEnd"/>
      <w:r w:rsidRPr="007B44C6">
        <w:rPr>
          <w:rFonts w:ascii="Times New Roman" w:eastAsia="Times New Roman" w:hAnsi="Times New Roman" w:cs="Times New Roman"/>
          <w:i/>
          <w:iCs/>
          <w:color w:val="000000"/>
          <w:sz w:val="24"/>
          <w:szCs w:val="19"/>
          <w:lang w:eastAsia="tr-TR"/>
        </w:rPr>
        <w:t xml:space="preserve"> işçi kesiminin ortaya çıkmasına meşru zemin hazırlamaktadır.</w:t>
      </w:r>
    </w:p>
    <w:p w:rsidR="007B44C6" w:rsidRPr="007B44C6" w:rsidRDefault="007B44C6" w:rsidP="007B44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44C6">
        <w:rPr>
          <w:rFonts w:ascii="Times New Roman" w:eastAsia="Times New Roman" w:hAnsi="Times New Roman" w:cs="Times New Roman"/>
          <w:i/>
          <w:iCs/>
          <w:color w:val="000000"/>
          <w:sz w:val="24"/>
          <w:szCs w:val="19"/>
          <w:lang w:eastAsia="tr-TR"/>
        </w:rPr>
        <w:t xml:space="preserve">Sosyal devlet ilkesi ışığında 1982 Anayasasında tanınan Sosyal ve Ekonomik Hakların en büyük koruyucusu devletin kendi tüzel kişiliği olmalıdır. Buna rağmen ilgili kanun maddesi ile asıl işe </w:t>
      </w:r>
      <w:proofErr w:type="gramStart"/>
      <w:r w:rsidRPr="007B44C6">
        <w:rPr>
          <w:rFonts w:ascii="Times New Roman" w:eastAsia="Times New Roman" w:hAnsi="Times New Roman" w:cs="Times New Roman"/>
          <w:i/>
          <w:iCs/>
          <w:color w:val="000000"/>
          <w:sz w:val="24"/>
          <w:szCs w:val="19"/>
          <w:lang w:eastAsia="tr-TR"/>
        </w:rPr>
        <w:t>dahil</w:t>
      </w:r>
      <w:proofErr w:type="gramEnd"/>
      <w:r w:rsidRPr="007B44C6">
        <w:rPr>
          <w:rFonts w:ascii="Times New Roman" w:eastAsia="Times New Roman" w:hAnsi="Times New Roman" w:cs="Times New Roman"/>
          <w:i/>
          <w:iCs/>
          <w:color w:val="000000"/>
          <w:sz w:val="24"/>
          <w:szCs w:val="19"/>
          <w:lang w:eastAsia="tr-TR"/>
        </w:rPr>
        <w:t xml:space="preserve"> olan bir işin hizmet alımı yolu ile alt işverenlere devredilebileceğini öngören Enerji Piyasası Kanununun 15/1-g maddesi yukarıda gerekçelendirildiği üzere 1982 Anayasası’nın belirtilen maddelerine, özüne ve ruhuna aykırı bulunmakla Anayasa Mahkemesine itiraz yolu ile başvurma gereği hasıl olmuştur.”"</w:t>
      </w:r>
    </w:p>
    <w:p w:rsidR="00CE1FB9" w:rsidRPr="007B44C6" w:rsidRDefault="00CE1FB9" w:rsidP="007B44C6">
      <w:pPr>
        <w:spacing w:before="100" w:beforeAutospacing="1" w:after="100" w:afterAutospacing="1" w:line="240" w:lineRule="auto"/>
        <w:ind w:firstLine="709"/>
        <w:jc w:val="both"/>
        <w:rPr>
          <w:rFonts w:ascii="Times New Roman" w:hAnsi="Times New Roman" w:cs="Times New Roman"/>
          <w:sz w:val="24"/>
        </w:rPr>
      </w:pPr>
    </w:p>
    <w:sectPr w:rsidR="00CE1FB9" w:rsidRPr="007B44C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2A9D" w:rsidRDefault="00482A9D" w:rsidP="007B44C6">
      <w:pPr>
        <w:spacing w:after="0" w:line="240" w:lineRule="auto"/>
      </w:pPr>
      <w:r>
        <w:separator/>
      </w:r>
    </w:p>
  </w:endnote>
  <w:endnote w:type="continuationSeparator" w:id="0">
    <w:p w:rsidR="00482A9D" w:rsidRDefault="00482A9D" w:rsidP="007B44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C6" w:rsidRDefault="007B44C6" w:rsidP="0043246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44C6" w:rsidRDefault="007B44C6" w:rsidP="007B44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C6" w:rsidRPr="007B44C6" w:rsidRDefault="007B44C6" w:rsidP="00432462">
    <w:pPr>
      <w:pStyle w:val="Altbilgi"/>
      <w:framePr w:wrap="around" w:vAnchor="text" w:hAnchor="margin" w:xAlign="right" w:y="1"/>
      <w:rPr>
        <w:rStyle w:val="SayfaNumaras"/>
        <w:rFonts w:ascii="Times New Roman" w:hAnsi="Times New Roman" w:cs="Times New Roman"/>
      </w:rPr>
    </w:pPr>
    <w:r w:rsidRPr="007B44C6">
      <w:rPr>
        <w:rStyle w:val="SayfaNumaras"/>
        <w:rFonts w:ascii="Times New Roman" w:hAnsi="Times New Roman" w:cs="Times New Roman"/>
      </w:rPr>
      <w:fldChar w:fldCharType="begin"/>
    </w:r>
    <w:r w:rsidRPr="007B44C6">
      <w:rPr>
        <w:rStyle w:val="SayfaNumaras"/>
        <w:rFonts w:ascii="Times New Roman" w:hAnsi="Times New Roman" w:cs="Times New Roman"/>
      </w:rPr>
      <w:instrText xml:space="preserve">PAGE  </w:instrText>
    </w:r>
    <w:r w:rsidRPr="007B44C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B44C6">
      <w:rPr>
        <w:rStyle w:val="SayfaNumaras"/>
        <w:rFonts w:ascii="Times New Roman" w:hAnsi="Times New Roman" w:cs="Times New Roman"/>
      </w:rPr>
      <w:fldChar w:fldCharType="end"/>
    </w:r>
  </w:p>
  <w:p w:rsidR="007B44C6" w:rsidRPr="007B44C6" w:rsidRDefault="007B44C6" w:rsidP="007B44C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2A9D" w:rsidRDefault="00482A9D" w:rsidP="007B44C6">
      <w:pPr>
        <w:spacing w:after="0" w:line="240" w:lineRule="auto"/>
      </w:pPr>
      <w:r>
        <w:separator/>
      </w:r>
    </w:p>
  </w:footnote>
  <w:footnote w:type="continuationSeparator" w:id="0">
    <w:p w:rsidR="00482A9D" w:rsidRDefault="00482A9D" w:rsidP="007B44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44C6" w:rsidRPr="0022145B" w:rsidRDefault="007B44C6" w:rsidP="007B44C6">
    <w:pPr>
      <w:shd w:val="clear" w:color="auto" w:fill="FFFFFF"/>
      <w:spacing w:after="0" w:line="240" w:lineRule="auto"/>
      <w:jc w:val="both"/>
      <w:rPr>
        <w:rFonts w:ascii="Times New Roman" w:eastAsia="Times New Roman" w:hAnsi="Times New Roman" w:cs="Times New Roman"/>
        <w:b/>
        <w:color w:val="000000"/>
        <w:sz w:val="24"/>
        <w:lang w:eastAsia="tr-TR"/>
      </w:rPr>
    </w:pPr>
    <w:r w:rsidRPr="0022145B">
      <w:rPr>
        <w:rFonts w:ascii="Times New Roman" w:eastAsia="Times New Roman" w:hAnsi="Times New Roman" w:cs="Times New Roman"/>
        <w:b/>
        <w:color w:val="000000"/>
        <w:sz w:val="24"/>
        <w:lang w:eastAsia="tr-TR"/>
      </w:rPr>
      <w:t xml:space="preserve">Esas </w:t>
    </w:r>
    <w:proofErr w:type="gramStart"/>
    <w:r w:rsidRPr="0022145B">
      <w:rPr>
        <w:rFonts w:ascii="Times New Roman" w:eastAsia="Times New Roman" w:hAnsi="Times New Roman" w:cs="Times New Roman"/>
        <w:b/>
        <w:color w:val="000000"/>
        <w:sz w:val="24"/>
        <w:lang w:eastAsia="tr-TR"/>
      </w:rPr>
      <w:t>Sayısı : 2014</w:t>
    </w:r>
    <w:proofErr w:type="gramEnd"/>
    <w:r w:rsidRPr="0022145B">
      <w:rPr>
        <w:rFonts w:ascii="Times New Roman" w:eastAsia="Times New Roman" w:hAnsi="Times New Roman" w:cs="Times New Roman"/>
        <w:b/>
        <w:color w:val="000000"/>
        <w:sz w:val="24"/>
        <w:lang w:eastAsia="tr-TR"/>
      </w:rPr>
      <w:t>/179</w:t>
    </w:r>
  </w:p>
  <w:p w:rsidR="007B44C6" w:rsidRPr="0022145B" w:rsidRDefault="007B44C6" w:rsidP="007B44C6">
    <w:pPr>
      <w:shd w:val="clear" w:color="auto" w:fill="FFFFFF"/>
      <w:spacing w:after="0" w:line="240" w:lineRule="auto"/>
      <w:jc w:val="both"/>
      <w:rPr>
        <w:rFonts w:ascii="Times New Roman" w:eastAsia="Times New Roman" w:hAnsi="Times New Roman" w:cs="Times New Roman"/>
        <w:b/>
        <w:color w:val="000000"/>
        <w:sz w:val="24"/>
        <w:lang w:eastAsia="tr-TR"/>
      </w:rPr>
    </w:pPr>
    <w:r w:rsidRPr="0022145B">
      <w:rPr>
        <w:rFonts w:ascii="Times New Roman" w:eastAsia="Times New Roman" w:hAnsi="Times New Roman" w:cs="Times New Roman"/>
        <w:b/>
        <w:color w:val="000000"/>
        <w:sz w:val="24"/>
        <w:lang w:eastAsia="tr-TR"/>
      </w:rPr>
      <w:t xml:space="preserve">Karar </w:t>
    </w:r>
    <w:proofErr w:type="gramStart"/>
    <w:r w:rsidRPr="0022145B">
      <w:rPr>
        <w:rFonts w:ascii="Times New Roman" w:eastAsia="Times New Roman" w:hAnsi="Times New Roman" w:cs="Times New Roman"/>
        <w:b/>
        <w:color w:val="000000"/>
        <w:sz w:val="24"/>
        <w:lang w:eastAsia="tr-TR"/>
      </w:rPr>
      <w:t>Sayısı : 2015</w:t>
    </w:r>
    <w:proofErr w:type="gramEnd"/>
    <w:r w:rsidRPr="0022145B">
      <w:rPr>
        <w:rFonts w:ascii="Times New Roman" w:eastAsia="Times New Roman" w:hAnsi="Times New Roman" w:cs="Times New Roman"/>
        <w:b/>
        <w:color w:val="000000"/>
        <w:sz w:val="24"/>
        <w:lang w:eastAsia="tr-TR"/>
      </w:rPr>
      <w:t>/54</w:t>
    </w:r>
  </w:p>
  <w:p w:rsidR="007B44C6" w:rsidRPr="007B44C6" w:rsidRDefault="007B44C6" w:rsidP="007B44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4C6"/>
    <w:rsid w:val="00482A9D"/>
    <w:rsid w:val="007B44C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BB6861-85A2-4B53-9B09-DBE1CCB1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B44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44C6"/>
  </w:style>
  <w:style w:type="paragraph" w:styleId="Altbilgi">
    <w:name w:val="footer"/>
    <w:basedOn w:val="Normal"/>
    <w:link w:val="AltbilgiChar"/>
    <w:uiPriority w:val="99"/>
    <w:unhideWhenUsed/>
    <w:rsid w:val="007B44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44C6"/>
  </w:style>
  <w:style w:type="character" w:styleId="SayfaNumaras">
    <w:name w:val="page number"/>
    <w:basedOn w:val="VarsaylanParagrafYazTipi"/>
    <w:uiPriority w:val="99"/>
    <w:semiHidden/>
    <w:unhideWhenUsed/>
    <w:rsid w:val="007B44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989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2019-02-28T06:54:00Z</dcterms:created>
  <dcterms:modified xsi:type="dcterms:W3CDTF">2019-02-28T06:54:00Z</dcterms:modified>
</cp:coreProperties>
</file>