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ADE" w:rsidRPr="00F71ADE" w:rsidRDefault="00F71ADE" w:rsidP="00F71ADE">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bookmarkStart w:id="0" w:name="_GoBack"/>
      <w:bookmarkEnd w:id="0"/>
      <w:r w:rsidRPr="00F71ADE">
        <w:rPr>
          <w:rFonts w:ascii="Times New Roman" w:eastAsia="Times New Roman" w:hAnsi="Times New Roman" w:cs="Times New Roman"/>
          <w:b/>
          <w:bCs/>
          <w:color w:val="000000"/>
          <w:sz w:val="24"/>
          <w:lang w:eastAsia="tr-TR"/>
        </w:rPr>
        <w:t>"...</w:t>
      </w:r>
    </w:p>
    <w:p w:rsidR="00F71ADE" w:rsidRDefault="00F71ADE" w:rsidP="00F71AD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b/>
          <w:bCs/>
          <w:color w:val="000000"/>
          <w:sz w:val="24"/>
          <w:lang w:eastAsia="tr-TR"/>
        </w:rPr>
        <w:t>II- İTİRAZIN GEREKÇESİ </w:t>
      </w:r>
    </w:p>
    <w:p w:rsidR="00F71ADE" w:rsidRDefault="00F71ADE" w:rsidP="00F71AD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color w:val="000000"/>
          <w:sz w:val="24"/>
          <w:szCs w:val="19"/>
          <w:lang w:eastAsia="tr-TR"/>
        </w:rPr>
        <w:t>Başvuru kararının gerekçe bölümü şöyledir: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 </w:t>
      </w:r>
      <w:r w:rsidRPr="00F71ADE">
        <w:rPr>
          <w:rFonts w:ascii="Times New Roman" w:eastAsia="Times New Roman" w:hAnsi="Times New Roman" w:cs="Times New Roman"/>
          <w:b/>
          <w:bCs/>
          <w:i/>
          <w:iCs/>
          <w:color w:val="000000"/>
          <w:sz w:val="24"/>
          <w:szCs w:val="19"/>
          <w:lang w:eastAsia="tr-TR"/>
        </w:rPr>
        <w:t>"</w:t>
      </w:r>
      <w:r w:rsidRPr="00F71ADE">
        <w:rPr>
          <w:rFonts w:ascii="Times New Roman" w:eastAsia="Times New Roman" w:hAnsi="Times New Roman" w:cs="Times New Roman"/>
          <w:i/>
          <w:iCs/>
          <w:color w:val="000000"/>
          <w:sz w:val="24"/>
          <w:szCs w:val="19"/>
          <w:lang w:eastAsia="tr-TR"/>
        </w:rPr>
        <w:t>ANAYASANIN 2. MADDESİ YÖNÜNDEN;</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2709 sayılı Türkiye Cumhuriyeti Anayasası'nın "Cumhuriyetin Nitelikleri" başlıklı 2. maddesinde: "Türkiye Cumhuriyeti, toplumun huzuru, milli dayanışma ve adalet anlayışı içinde, insan haklarına saygılı, Atatürk milliyetçiliğine bağlı, başlangıçta belirtilen temel ilkelere dayanan, demokratik, laik ve sosyal bir hukuk Devletidir" hükmü yer almaktadır.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Anayasa Mahkemesinin çeşitli kararlarında belirtildiği üzere; 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Kanunların kamu yararının sağlanması amacına yönelik olması, genel, objektif, adil kurallar içermesi ve hakkaniyet ölçütlerini gözetmesi hukuk devleti olmanın gereğidir. Bu nedenle yasa koyucunun hukuki düzenlemelerde kendisine tanınan takdir yetkisini anayasal sınırlar içinde adalet, hakkaniyet ve kamu yararı ölçütlerini göz önünde tutarak kullanması gerekir.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Hukukun evrensel ilkelerine saygı duymak hukuk devleti olmanın gereğidir. Kazanılmış haklara saygı ilkesi de hukukun genel ilkeleri ve hukuk devleti kavramı içerisinde yer alır. Bu ilkenin temel amacı bireylerin hukuk güvenliğini sağlamaktır.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Yasa koyucu, düzenlemeler yaparken hukuk devleti ilkesinin bir gereği olan ölçülülük ilkesiyle bağlıdır. Bu ilke ise "elverişlilik", "gereklilik" ve "orantılılık" olmak üzere üç alt ilkeden oluşmaktadır. "Elverişlilik", başvurulan önlemin ulaşılmak istenen amaç için elverişli olmasını, "gereklilik" başvurulan önlemin ulaşılmak istenen amaç bakımından gerekli olmasını ve "orantılılık" ise başvurulan önlem ve ulaşılmak istenen amaç arasında olması gereken ölçüyü ifade etmektedir.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Hukuk devletinin unsurlarından olan "ölçülülük ilkesi" nedeniyle Devlet, getirilen kural, öngörülen yaptırım ile ulaşılmak istenen amaç arasında makul bir denge kurmak zorundadır.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 xml:space="preserve">İtiraza konu kural, kazanılmış haklara saygı ve ölçülülük ilkesine göre değerlendirildiğinde; haksız ve yersiz tahsilatların iadesi için düzeltme fişlerinin mükelleflere tebliğinden itibaren 1 yıllık süre içerisinde başvuru yapılması zorunluluğu getirilerek, yaptırımı olarak da hakkın sakıt olması olan sonuç ortaya konulmuştur. Dolayısıyla, itiraza konu hükümde yer alan şart, usul, süre ve önlemin, ulaşılmak istenen amaç yönünden ölçülü ve gerekli olmadığı sonucuna varılmaktadır. Zira, diğer kanunlar ve bu kanunlarda yer alan genel zamanaşımı süreleri birlikte değerlendirildiğinde, haksız yere idare tarafından tahsil edilen tutarın iadesine yönelik kısıtlı bir başvuru süresi belirlendiği, dolayısıyla elverişli bir başvuru </w:t>
      </w:r>
      <w:r w:rsidRPr="00F71ADE">
        <w:rPr>
          <w:rFonts w:ascii="Times New Roman" w:eastAsia="Times New Roman" w:hAnsi="Times New Roman" w:cs="Times New Roman"/>
          <w:i/>
          <w:iCs/>
          <w:color w:val="000000"/>
          <w:sz w:val="24"/>
          <w:szCs w:val="19"/>
          <w:lang w:eastAsia="tr-TR"/>
        </w:rPr>
        <w:lastRenderedPageBreak/>
        <w:t>imkanı sunulmadığı, 1 yıllık sürenin idarece amaçlanan sonuç için orantılı bir zaman ihtiva etmediği görülmektedir.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ANAYASANIN 35. MADDESİ YÖNÜNDEN;</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2709 sayılı Türkiye Cumhuriyeti Anayasası'nın "Mülkiyet Hakkı" başlıklı 35. maddesinde: "Herkes, mülkiyet ve miras hakkına sahiptir. Bu haklar ancak kamu yararı amacıyla, kanunla sınırlandırılabilir. Mülkiyet hakkının kullanımı toplum yararına aykırı olamaz" hükmü yer almaktadır.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213 sayılı Kanunun 120. maddesinde yer verilen yersiz tahsil, hukuka aykırı olarak idarece vergi tahsil edilmesi olup, söz konuşu tahsilatın hizmet kusuru ile yapılması halidir. Fazla tahsil ise, idarenin bir kusuru ortaya çıkmaksızın verginin bizzat mükellefçe fazla olarak ödenmesini ifade eder. Dolayısıyla, vergi uyuşmazlıklarında yargı yerlerince verilen iptal karaları da uyuşmazlığın niteliğine göre idarenin mal varlığına dahil edilen verginin "fazla ve yersiz" olduğu anlamına gelir, idarece yapılmış olan vergi tahsilatının fazla veya yersiz olduğu tespit edildikten sonra bu tahsilât, mükellefler için bir "alacak" haline gelmektedir. Alacak hakkı mülkiyet hakkı kapsamında kişilerin temel haklarındandır. Kişiler idarece gerçekleştirilen yanlış veya yersiz vergi tahsilatı nedeni ile belli bir süre mülkiyetlerinde olması gereken bir meblağdan kullanma, tasarruf etme ve harcama şeklinde yararlanma imkanından mahrum kalmaktadırlar. Bu şekilde kişiler mülkiyet haklarından mahrum edilerek haksızlığa uğratılmaktadır.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İtiraza konu düzenleme ile elde edilmesi umulan kamu yararı; kamu için öncelikli, genel menfaatleri koruyan, kamu hizmetlerinin sürdürülmesi için zorunlu bir durum arz etmemekte, vergi yükümlüsü tarafından 1 yıllık sürede başvuru yapılmaması durumunda başkasının mülkü üzerinde sebepsiz ve karşılıksız biçimde tasarruf etme hakkını devlete vermektedir." Ayrıca bu kural, kişinin belli bir sürenin geçmesiyle mal varlığından ilanihaye mahrum kalması sonucunu doğurarak genel yarar ile kişi yararı arasındaki dengenin bozulmasına yol açmakta, bu durum hukuk devletinde korunması gereken mülkiyet hakkının ihlaline neden olmaktadır.</w:t>
      </w:r>
    </w:p>
    <w:p w:rsidR="00F71ADE" w:rsidRDefault="00F71ADE" w:rsidP="00F71AD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ANAYASANIN 36. MADDESİ YÖNÜNDEN</w:t>
      </w:r>
    </w:p>
    <w:p w:rsidR="00F71ADE" w:rsidRP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2709 sayılı Türkiye Cumhuriyeti Anayasası'nın 36. maddesine göre herkes meşru vasıta ve yollardan faydalanmak sureti ile yargı mercileri önünde davacı ve davalı olarak iddia ve savunma ile adil yargılanma hakkına sahiptir.</w:t>
      </w:r>
    </w:p>
    <w:p w:rsid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Genel zamanaşımı sürelerini uygulamak yerine bir yıllık kısıtlı bir süre belirlenerek, bu süre dahilinde müracaat yapılmaması halinde doğrudan doğruya hakkın kaybına sebep olan 120. madde hükmü, Anayasanın 36. maddesindeki hak arama özgürlüğü ve adil yargılanma hakkına da aykırılık teşkil etmektedir.</w:t>
      </w:r>
    </w:p>
    <w:p w:rsidR="00F71ADE" w:rsidRDefault="00F71ADE" w:rsidP="00F71AD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SONUÇ;</w:t>
      </w:r>
    </w:p>
    <w:p w:rsidR="00CE1FB9" w:rsidRPr="00F71ADE" w:rsidRDefault="00F71ADE" w:rsidP="00F71AD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71ADE">
        <w:rPr>
          <w:rFonts w:ascii="Times New Roman" w:eastAsia="Times New Roman" w:hAnsi="Times New Roman" w:cs="Times New Roman"/>
          <w:i/>
          <w:iCs/>
          <w:color w:val="000000"/>
          <w:sz w:val="24"/>
          <w:szCs w:val="19"/>
          <w:lang w:eastAsia="tr-TR"/>
        </w:rPr>
        <w:t>Açıklanan nedenlerle, 213 sayılı Vergi Usul Kanunu'nun 120. maddesinin 2. fıkrasında yer alan "...Mükellef, tebliğ tarihinden başlayarak bir yıl içinde parasını geri almak üzere müracaat etmediği takdirde hakkı sakıt olur." hükmünde geçen "...bir yıl..." kelimesinin, Anayasanın 2., 35. ve 36. maddesine aykırı olduğu kanaati ile iptalinin talep edilmesine, başvuru kararının aslıyla birlikte, dava dosyasındaki ilgili belgelerinin onaylı suretlerinin oluşturularak Anayasa Mahkemesine sunulmasına, 17.10.2014 tarihinde karar verildi.""</w:t>
      </w:r>
    </w:p>
    <w:sectPr w:rsidR="00CE1FB9" w:rsidRPr="00F71ADE">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4FA" w:rsidRDefault="00B304FA" w:rsidP="00F71ADE">
      <w:pPr>
        <w:spacing w:after="0" w:line="240" w:lineRule="auto"/>
      </w:pPr>
      <w:r>
        <w:separator/>
      </w:r>
    </w:p>
  </w:endnote>
  <w:endnote w:type="continuationSeparator" w:id="0">
    <w:p w:rsidR="00B304FA" w:rsidRDefault="00B304FA" w:rsidP="00F71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ADE" w:rsidRDefault="00F71ADE" w:rsidP="008A022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71ADE" w:rsidRDefault="00F71ADE" w:rsidP="00F71AD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ADE" w:rsidRPr="00F71ADE" w:rsidRDefault="00F71ADE" w:rsidP="008A0225">
    <w:pPr>
      <w:pStyle w:val="Altbilgi"/>
      <w:framePr w:wrap="around" w:vAnchor="text" w:hAnchor="margin" w:xAlign="right" w:y="1"/>
      <w:rPr>
        <w:rStyle w:val="SayfaNumaras"/>
        <w:rFonts w:ascii="Times New Roman" w:hAnsi="Times New Roman" w:cs="Times New Roman"/>
      </w:rPr>
    </w:pPr>
    <w:r w:rsidRPr="00F71ADE">
      <w:rPr>
        <w:rStyle w:val="SayfaNumaras"/>
        <w:rFonts w:ascii="Times New Roman" w:hAnsi="Times New Roman" w:cs="Times New Roman"/>
      </w:rPr>
      <w:fldChar w:fldCharType="begin"/>
    </w:r>
    <w:r w:rsidRPr="00F71ADE">
      <w:rPr>
        <w:rStyle w:val="SayfaNumaras"/>
        <w:rFonts w:ascii="Times New Roman" w:hAnsi="Times New Roman" w:cs="Times New Roman"/>
      </w:rPr>
      <w:instrText xml:space="preserve">PAGE  </w:instrText>
    </w:r>
    <w:r w:rsidRPr="00F71ADE">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F71ADE">
      <w:rPr>
        <w:rStyle w:val="SayfaNumaras"/>
        <w:rFonts w:ascii="Times New Roman" w:hAnsi="Times New Roman" w:cs="Times New Roman"/>
      </w:rPr>
      <w:fldChar w:fldCharType="end"/>
    </w:r>
  </w:p>
  <w:p w:rsidR="00F71ADE" w:rsidRPr="00F71ADE" w:rsidRDefault="00F71ADE" w:rsidP="00F71AD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4FA" w:rsidRDefault="00B304FA" w:rsidP="00F71ADE">
      <w:pPr>
        <w:spacing w:after="0" w:line="240" w:lineRule="auto"/>
      </w:pPr>
      <w:r>
        <w:separator/>
      </w:r>
    </w:p>
  </w:footnote>
  <w:footnote w:type="continuationSeparator" w:id="0">
    <w:p w:rsidR="00B304FA" w:rsidRDefault="00B304FA" w:rsidP="00F71A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ADE" w:rsidRPr="00A14C76" w:rsidRDefault="00F71ADE" w:rsidP="00F71ADE">
    <w:pPr>
      <w:shd w:val="clear" w:color="auto" w:fill="FFFFFF"/>
      <w:spacing w:after="0" w:line="240" w:lineRule="auto"/>
      <w:jc w:val="both"/>
      <w:rPr>
        <w:rFonts w:ascii="Times New Roman" w:eastAsia="Times New Roman" w:hAnsi="Times New Roman" w:cs="Times New Roman"/>
        <w:b/>
        <w:bCs/>
        <w:color w:val="000000"/>
        <w:sz w:val="24"/>
        <w:lang w:eastAsia="tr-TR"/>
      </w:rPr>
    </w:pPr>
    <w:r w:rsidRPr="00A14C76">
      <w:rPr>
        <w:rFonts w:ascii="Times New Roman" w:eastAsia="Times New Roman" w:hAnsi="Times New Roman" w:cs="Times New Roman"/>
        <w:b/>
        <w:bCs/>
        <w:color w:val="000000"/>
        <w:sz w:val="24"/>
        <w:lang w:eastAsia="tr-TR"/>
      </w:rPr>
      <w:t>Esas Sayısı : 2014/171</w:t>
    </w:r>
  </w:p>
  <w:p w:rsidR="00F71ADE" w:rsidRPr="00A14C76" w:rsidRDefault="00F71ADE" w:rsidP="00F71ADE">
    <w:pPr>
      <w:shd w:val="clear" w:color="auto" w:fill="FFFFFF"/>
      <w:spacing w:after="0" w:line="240" w:lineRule="auto"/>
      <w:jc w:val="both"/>
      <w:rPr>
        <w:rFonts w:ascii="Times New Roman" w:eastAsia="Times New Roman" w:hAnsi="Times New Roman" w:cs="Times New Roman"/>
        <w:b/>
        <w:bCs/>
        <w:color w:val="000000"/>
        <w:sz w:val="24"/>
        <w:lang w:eastAsia="tr-TR"/>
      </w:rPr>
    </w:pPr>
    <w:r w:rsidRPr="00A14C76">
      <w:rPr>
        <w:rFonts w:ascii="Times New Roman" w:eastAsia="Times New Roman" w:hAnsi="Times New Roman" w:cs="Times New Roman"/>
        <w:b/>
        <w:bCs/>
        <w:color w:val="000000"/>
        <w:sz w:val="24"/>
        <w:lang w:eastAsia="tr-TR"/>
      </w:rPr>
      <w:t>Karar Sayısı : 2015/41</w:t>
    </w:r>
  </w:p>
  <w:p w:rsidR="00F71ADE" w:rsidRPr="00F71ADE" w:rsidRDefault="00F71ADE" w:rsidP="00F71AD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ADE"/>
    <w:rsid w:val="00B304FA"/>
    <w:rsid w:val="00CE1FB9"/>
    <w:rsid w:val="00F71AD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AA8CA8-E054-45DC-AED7-CDBBF4575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0">
    <w:name w:val="balk10"/>
    <w:basedOn w:val="Normal"/>
    <w:rsid w:val="00F71AD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0">
    <w:name w:val="gvdemetni0"/>
    <w:basedOn w:val="Normal"/>
    <w:rsid w:val="00F71AD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2">
    <w:name w:val="gvdemetni2"/>
    <w:basedOn w:val="VarsaylanParagrafYazTipi"/>
    <w:rsid w:val="00F71ADE"/>
  </w:style>
  <w:style w:type="paragraph" w:styleId="stbilgi">
    <w:name w:val="header"/>
    <w:basedOn w:val="Normal"/>
    <w:link w:val="stbilgiChar"/>
    <w:uiPriority w:val="99"/>
    <w:unhideWhenUsed/>
    <w:rsid w:val="00F71AD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71ADE"/>
  </w:style>
  <w:style w:type="paragraph" w:styleId="Altbilgi">
    <w:name w:val="footer"/>
    <w:basedOn w:val="Normal"/>
    <w:link w:val="AltbilgiChar"/>
    <w:uiPriority w:val="99"/>
    <w:unhideWhenUsed/>
    <w:rsid w:val="00F71AD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71ADE"/>
  </w:style>
  <w:style w:type="character" w:styleId="SayfaNumaras">
    <w:name w:val="page number"/>
    <w:basedOn w:val="VarsaylanParagrafYazTipi"/>
    <w:uiPriority w:val="99"/>
    <w:semiHidden/>
    <w:unhideWhenUsed/>
    <w:rsid w:val="00F71A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090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912</Words>
  <Characters>5203</Characters>
  <Application>Microsoft Office Word</Application>
  <DocSecurity>0</DocSecurity>
  <Lines>43</Lines>
  <Paragraphs>12</Paragraphs>
  <ScaleCrop>false</ScaleCrop>
  <Company/>
  <LinksUpToDate>false</LinksUpToDate>
  <CharactersWithSpaces>6103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2019-02-27T11:28:00Z</dcterms:created>
  <dcterms:modified xsi:type="dcterms:W3CDTF">2019-02-27T11:29:00Z</dcterms:modified>
</cp:coreProperties>
</file>