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721D" w:rsidRP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bookmarkStart w:id="0" w:name="_GoBack"/>
      <w:bookmarkEnd w:id="0"/>
      <w:r w:rsidRPr="0007721D">
        <w:rPr>
          <w:rFonts w:ascii="Times New Roman" w:eastAsia="Times New Roman" w:hAnsi="Times New Roman" w:cs="Times New Roman"/>
          <w:b/>
          <w:bCs/>
          <w:color w:val="000000"/>
          <w:sz w:val="24"/>
          <w:lang w:eastAsia="tr-TR"/>
        </w:rPr>
        <w:t>"...</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b/>
          <w:bCs/>
          <w:color w:val="000000"/>
          <w:sz w:val="24"/>
          <w:lang w:eastAsia="tr-TR"/>
        </w:rPr>
        <w:t>II- İTİRAZIN GEREKÇESİ</w:t>
      </w:r>
    </w:p>
    <w:p w:rsidR="0007721D" w:rsidRP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color w:val="000000"/>
          <w:sz w:val="24"/>
          <w:szCs w:val="19"/>
          <w:lang w:eastAsia="tr-TR"/>
        </w:rPr>
        <w:t>Başvuru kararının gerekçe bölümü şöyledir:</w:t>
      </w:r>
      <w:r w:rsidRPr="0007721D">
        <w:rPr>
          <w:rFonts w:ascii="Times New Roman" w:eastAsia="Times New Roman" w:hAnsi="Times New Roman" w:cs="Times New Roman"/>
          <w:i/>
          <w:iCs/>
          <w:color w:val="000000"/>
          <w:sz w:val="24"/>
          <w:szCs w:val="19"/>
          <w:lang w:eastAsia="tr-TR"/>
        </w:rPr>
        <w:t>                        </w:t>
      </w:r>
    </w:p>
    <w:p w:rsidR="0007721D" w:rsidRP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                        </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II- 5684 sayılı Yasanın başvuru konusu kuralının Anayasaya uygunluğu:</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Anayasa'nın 2. maddesinde belirtilen hukuk devleti, eylem ve işlemleri hukuka uygun, insan haklarına dayanan, bu hak ve özgürlükleri koruyup güçlendiren, her alanda adil bir hukuk düzeni kurup bunu geliştirerek sürdüren, Anayasa'ya aykırı durum ve tutumlardan kaçınan, hukukun üstün kurallarıyla kendini bağlı sayan, yargı denetimine açık, yasaların üstünde yasa koyucunun da uyması gereken Anayasa ve temel hukuk ilkeleri bulunduğunun bilincinde olan devlettir.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Hukuk devleti ilkesinin ön koşullarından biri olan hukuk güvenliği ile kişilerin hukuki güvenliğinin sağlanması amaçlanmaktadır. Hukuk güvenliği ilkesi, hukuk normlarının öngörülebilir olmasını, bireylerin tüm eylem ve işlemlerinde devlete güven duyabilmesini, devletin de yasal düzenlemelerinde bu güven duygusunu zedeleyici yöntemlerden kaçınmasını gerekli kılar.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Anayasanın 36. maddesiyle güvence altına alınan dava yoluyla hak arama özgürlüğü, bir temel hak niteliği taşımasının ötesinde, diğer temel hak ve özgürlüklerden gereken şekilde yararlanılmasını ve bunların korunmasını sağlayan en etkili güvencelerden birini oluşturmaktadır.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Aynı hak, Avrupa İnsan Hakları Sözleşmesinin (İnsan Hakları ve Temel Özgürlüklerinin Korunmasına İlişkin Sözleşmenin) "Adil Yargılanma Hakkı" başlıklı 6. maddesinde "Herkes davasının, medeni hak ve yükümlülükleriyle ilgili uyuşmazlıklar ya da cezai alanda kendisine yöneltilen suçlamaların esası konusunda karar verecek olan, yasayla kurulmuş, bağımsız ve tarafsız bir mahkeme tarafından, kamuya açık olarak ve makul bir süre içinde görülmesini isteme hakkına sahiptir." şeklinde ifadesini bulmuştur. Buna göre, kişilere yargı mercileri önünde dava hakkı tanınması adil yargılamanın ön koşulunu oluşturmaktadır.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Anayasanın 7. maddesinde, yasama yetkisinin Türk Milleti adına Türkiye Büyük Millet Meclisine ait olduğu, bu yetkinin devredilemeyeceği kuralına yer verilmiştir.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Egemenliğin sahibi olan Millet adına yetki kullanan yasama organı, "yasama" erkinin aslî sahibidir. Böyle bir yetkiden kendi iradesiyle bile vazgeçmesi söz konusu olamaz. Bu nedenle öğretide, Anayasa'da yasama yetkisinin devredilemeyeceği yolunda bir kural olmasaydı dahi, yasama yetkisinin devredilemeyeceği kabul edilmektedir. Çünkü kamu hukukunda hiçbir Devlet organı, Anayasa ve yasalardan aldığı bir yetkiyi, bu metinlerde açık bir izin olmadıkça başka bir Devlet organına devredemez.</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lastRenderedPageBreak/>
        <w:t>Yasama organı, yasa yaparken konuyla ilgili bütün olasılıkları göz önünde bulundurarak (kazuistik biçimde) ayrıntılara ait kurallar koymak yetkisine sahip ise de; zamanın gereklerine göre sık sık değişen önlemler alınmasına veya alınan önlemlerin kaldırılmasına ve yerine göre yeniden konulmasına gerek duyulan hallerde, yasama faaliyetinin yavaş işlemesi ve günlük olayları izleyerek zamanında önlem almasının güçlüğü karşısında; yasa koyucunun, konunun esaslı unsurlarını yasa ile belirledikten sonra, uzmanlık ve idare tekniğine ilişkin bulunan hususların düzenlenmesi için yürütme organına yetki vermesinin, yasama yetkisinin devri niteliğinde değerlendirilemeyeceği açıktır.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Bu durum öğretide, kural-işlem yetkisinin, ilke ve genel olarak yalnız yasama organına ait olduğu; yürütme ve idarenin ise, sadece türevsel, bağlı ve istisnai nitelikte düzenleme yetkisine sahip olduğu şeklinde ifade edilmiştir. (Duran, Lütfi: İdare Hukuku Ders Notları, İstanbul 1982. s.320)</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Yasama yetkisi asli bir yetki olduğundan ve Türk hukukunda yasayla düzenleme alanı konu itibariyle sınırlandırılmadığından (yasama yetkisinin genelliği), yasama organı, dilediği alanı, kuşkusuz Anayasa ilkelerine uygun olmak koşuluyla düzenleme yetkisini haizdir. (Anayasa Mahkemesinin E:1985/2, K: 1985/6 sayılı kararı; Özbudun, Ergun: Türk Anayasa Hukuku, 4. Baskı, Ankara 1995, s.164-165)</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Yasayla düzenleme ilkesi, düzenlenen konudan yalnız kavram, ad ve kurum olarak söz edilmesi değil, bunların yasa metninde kurallaştırılmasıdır. Kurallaştırma ise, düzenlenen alanda temel ilkelerin konulmasını ve çerçevenin çizilmiş olmasını ifade eder. Ancak temel ilkeler konulup çerçeve çizildikten sonra uzmanlık ve teknik konulara ilişkin ayrıntıların belirlenmesi yürütme organının takdirine bırakılabilir. </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Bu bakımdan yasama organının, "temel ilkeleri koyması, çerçeveyi çizmesi, sınırsız, belirsiz, geniş bir alanı yönetimin düzenlemesine bırakmaması gerekir." (Anayasa Mahkemesinin E:1993/5, K:1993/25 sayılı kararı). Bir başka deyişle, yasama organı, sahibi olduğu yasama yetkisinin asli, devredilemez niteliğiyle birlikte yürütme ve idarenin türevsel, istisnai, sınırlı düzenleme yeteneğini dikkate almak suretiyle, temel esaslarını kendisinin düzenlediği konularda yürütme ve idareye konunun ayrıntılarını düzenleme yetkisi tanıyabilir.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Bu itibarla, yürütme organına düzenleme yetkisi veren bir yasa kuralının Anayasanın 7. maddesine uygun olabilmesi için; temel ilkeleri koyması, çerçeveyi çizmesi, sınırsız, belirsiz, geniş bir alanı yürütmenin düzenlemesine bırakmaması gerekir.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Öte yandan, Anayasanın 8. maddesinde, yürütme yetkisi ve görevinin, Cumhurbaşkanı ve Bakanlar Kurulu tarafından Anayasa ve yasalara uygun olarak kullanılacağı ve yerine getirileceği; 123. maddesinde, idarenin, kuruluş ve görevleriyle bir bütün olduğu ve yasayla düzenleneceği; idarenin kuruluş ve görevlerinin merkezden ve yerinden yönetim esasına dayandığı; kamu tüzel kişiliğinin ancak yasayla veya yasanın açıkça verdiği yetkiye dayanılarak kurulacağı hükme bağlanmıştır.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Anayasa, yürütme görev ve yetkisinin, yasalar çerçevesinde yerine getirileceğini açıklamakla yetinmeyip; idare kuruluşunun her bir öğesinin de yasayla düzenlenmesini emretmektedir. İdare teşkilatı ile görev ve yetkilerinin yasayla düzenlenmesi öngörüldüğü gibi; ajanlara, vergilere ve mallara ilişkin statülerin de yasal nitelikte olması gerekmektedir. Bu bakımdan, idare onu yetkili kılan "yasa"ya dayanarak hizmette bulunabilir. Bu nedenledir ki, idare hukukunda yetkisizlik kural, yetkili olmak istisnadır.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lastRenderedPageBreak/>
        <w:t>Ancak idarenin yasallığı ilkesi, idari kuruluşun tümü ve bütün ayrıntıları ile yasa koyucu tarafından düzenlenmesi zorunluluğunu gerektirmeyip; sadece öğelerinin temel kurallarının ve güvence hükümlerinin yasada yer almasını zorunlu kılar. Nitekim Anayasanın 123. maddesinde, kamu tüzel kişiliğinin, ancak yasayla veya yasanın verdiği açık yetkiye dayanılarak kurulacağı belirtilmek suretiyle, idarenin kuruluşunda her noktanın mutlaka yasa hükmüne bağlanmasını şart koşmamış ya da bu alanda yürütme ve idarenin düzenleme yapmasını yasaklamamıştır. Bu itibarla, yasal yetkiye dayanarak ve yasalar ile Anayasa çerçevesinde olmak kaydıyla, yürütme ve idare de, kendi işleviyle ilgili alanda yeni ve ayrıntılı kurallar koyabilir. Böyle bir düzenlemenin "yasallık" ilkesine aykırı bir yönü yoktur.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Yasayla düzenleme ise, düzenlenen konudan yalnız kavram, ad ve kurum olarak söz edilmesiyle değil; temel ilkelerin konulması ve çerçevenin çizilmiş olmasıyla mümkündür. Oysa, 5684 sayılı Yasa'nın 30. maddesinin 8. fıkrasına, 6327 sayılı Kanun'un 58. maddesiyle eklenen ek cümlede yer alan ve sigorta hakemlerinde aranacak deneyim ve bu deneyime esas teşkil eden bilginin tespitine ilişkin ölçütlerin Müsteşarlık tarafından belirleneceğine ilişkin hüküm, çerçevesini çizip, temel ilkeler koymadan sigorta hakemlerinin niteliklerinin Müsteşarlıkça belirlenmesini öngörmekte olup, bu haliyle anılan yasa hükmü Anayasa'nın 123. maddesine aykırı bulunmaktadır. Anayasanın bu maddesine aykırılık oluşturan kural, kuşkusuz, aynı zamanda Anayasa'nın 2. maddesinde ifadesini bulan "Hukuk Devleti İlkesi"ne ve 36. maddesinde düzenlenen "Hak Arama Hürriyeti"ne de aykırılık teşkil etmektedir.</w:t>
      </w:r>
    </w:p>
    <w:p w:rsid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III- SONUÇ ve İSTEM</w:t>
      </w:r>
    </w:p>
    <w:p w:rsidR="0007721D" w:rsidRPr="0007721D" w:rsidRDefault="0007721D" w:rsidP="0007721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7721D">
        <w:rPr>
          <w:rFonts w:ascii="Times New Roman" w:eastAsia="Times New Roman" w:hAnsi="Times New Roman" w:cs="Times New Roman"/>
          <w:i/>
          <w:iCs/>
          <w:color w:val="000000"/>
          <w:sz w:val="24"/>
          <w:szCs w:val="19"/>
          <w:lang w:eastAsia="tr-TR"/>
        </w:rPr>
        <w:t>Açıklanan nedenlerle ve bir davaya bakmakta olan mahkemenin, o davada uygulanacak yasa kuralının Anayasa'ya aykırı olduğu kanısına götüren görüşünü açıklayan kararı ile Anayasa Mahkemesine başvurulması gerektiğini düzenleyen Anayasanın 152. maddesi ile 6216 sayılı Anayasa Mahkemesinin Kuruluşu ve Yargılama Usulleri Hakkında Kanun'un 40. maddesi uyarınca, yukarıda açıklanan gerekçelerle; 5684 sayılı Sigortacılık Kanunu'nun 30. maddesinin 8. fıkrasına, 6327 sayılı Kanun'un 58. maddesiyle eklenen ek cümlenin; Anayasanın 2., 36. ve 123. maddelerine aykırı olduğu kanısına ulaşılması nedeniyle Anayasa Mahkemesine başvurulmasına; dosyada bulunan belgelerin onaylı bir örneğinin Anayasa Mahkemesi Başkanlığına gönderilmesine 11/6/2014 gününde oybirliğiyle karar verildi.</w:t>
      </w:r>
      <w:r w:rsidRPr="0007721D">
        <w:rPr>
          <w:rFonts w:ascii="Times New Roman" w:eastAsia="Times New Roman" w:hAnsi="Times New Roman" w:cs="Times New Roman"/>
          <w:color w:val="000000"/>
          <w:sz w:val="24"/>
          <w:szCs w:val="19"/>
          <w:lang w:eastAsia="tr-TR"/>
        </w:rPr>
        <w:t>""</w:t>
      </w:r>
    </w:p>
    <w:p w:rsidR="00CE1FB9" w:rsidRPr="0007721D" w:rsidRDefault="00CE1FB9" w:rsidP="0007721D">
      <w:pPr>
        <w:spacing w:before="100" w:beforeAutospacing="1" w:after="100" w:afterAutospacing="1" w:line="240" w:lineRule="auto"/>
        <w:ind w:firstLine="709"/>
        <w:jc w:val="both"/>
        <w:rPr>
          <w:rFonts w:ascii="Times New Roman" w:hAnsi="Times New Roman" w:cs="Times New Roman"/>
          <w:sz w:val="24"/>
        </w:rPr>
      </w:pPr>
    </w:p>
    <w:sectPr w:rsidR="00CE1FB9" w:rsidRPr="0007721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8D3" w:rsidRDefault="00C628D3" w:rsidP="0007721D">
      <w:pPr>
        <w:spacing w:after="0" w:line="240" w:lineRule="auto"/>
      </w:pPr>
      <w:r>
        <w:separator/>
      </w:r>
    </w:p>
  </w:endnote>
  <w:endnote w:type="continuationSeparator" w:id="0">
    <w:p w:rsidR="00C628D3" w:rsidRDefault="00C628D3" w:rsidP="000772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21D" w:rsidRDefault="0007721D" w:rsidP="00123A9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7721D" w:rsidRDefault="0007721D" w:rsidP="0007721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21D" w:rsidRPr="0007721D" w:rsidRDefault="0007721D" w:rsidP="00123A9E">
    <w:pPr>
      <w:pStyle w:val="Altbilgi"/>
      <w:framePr w:wrap="around" w:vAnchor="text" w:hAnchor="margin" w:xAlign="right" w:y="1"/>
      <w:rPr>
        <w:rStyle w:val="SayfaNumaras"/>
        <w:rFonts w:ascii="Times New Roman" w:hAnsi="Times New Roman" w:cs="Times New Roman"/>
      </w:rPr>
    </w:pPr>
    <w:r w:rsidRPr="0007721D">
      <w:rPr>
        <w:rStyle w:val="SayfaNumaras"/>
        <w:rFonts w:ascii="Times New Roman" w:hAnsi="Times New Roman" w:cs="Times New Roman"/>
      </w:rPr>
      <w:fldChar w:fldCharType="begin"/>
    </w:r>
    <w:r w:rsidRPr="0007721D">
      <w:rPr>
        <w:rStyle w:val="SayfaNumaras"/>
        <w:rFonts w:ascii="Times New Roman" w:hAnsi="Times New Roman" w:cs="Times New Roman"/>
      </w:rPr>
      <w:instrText xml:space="preserve">PAGE  </w:instrText>
    </w:r>
    <w:r w:rsidRPr="0007721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7721D">
      <w:rPr>
        <w:rStyle w:val="SayfaNumaras"/>
        <w:rFonts w:ascii="Times New Roman" w:hAnsi="Times New Roman" w:cs="Times New Roman"/>
      </w:rPr>
      <w:fldChar w:fldCharType="end"/>
    </w:r>
  </w:p>
  <w:p w:rsidR="0007721D" w:rsidRPr="0007721D" w:rsidRDefault="0007721D" w:rsidP="0007721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8D3" w:rsidRDefault="00C628D3" w:rsidP="0007721D">
      <w:pPr>
        <w:spacing w:after="0" w:line="240" w:lineRule="auto"/>
      </w:pPr>
      <w:r>
        <w:separator/>
      </w:r>
    </w:p>
  </w:footnote>
  <w:footnote w:type="continuationSeparator" w:id="0">
    <w:p w:rsidR="00C628D3" w:rsidRDefault="00C628D3" w:rsidP="000772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21D" w:rsidRPr="00506A39" w:rsidRDefault="0007721D" w:rsidP="0007721D">
    <w:pPr>
      <w:shd w:val="clear" w:color="auto" w:fill="FFFFFF"/>
      <w:spacing w:after="0" w:line="240" w:lineRule="auto"/>
      <w:jc w:val="both"/>
      <w:rPr>
        <w:rFonts w:ascii="Times New Roman" w:eastAsia="Times New Roman" w:hAnsi="Times New Roman" w:cs="Times New Roman"/>
        <w:b/>
        <w:color w:val="000000"/>
        <w:sz w:val="24"/>
        <w:lang w:eastAsia="tr-TR"/>
      </w:rPr>
    </w:pPr>
    <w:r w:rsidRPr="00506A39">
      <w:rPr>
        <w:rFonts w:ascii="Times New Roman" w:eastAsia="Times New Roman" w:hAnsi="Times New Roman" w:cs="Times New Roman"/>
        <w:b/>
        <w:color w:val="000000"/>
        <w:sz w:val="24"/>
        <w:lang w:eastAsia="tr-TR"/>
      </w:rPr>
      <w:t>Esas Sayısı : 2014/139</w:t>
    </w:r>
  </w:p>
  <w:p w:rsidR="0007721D" w:rsidRPr="00506A39" w:rsidRDefault="0007721D" w:rsidP="0007721D">
    <w:pPr>
      <w:shd w:val="clear" w:color="auto" w:fill="FFFFFF"/>
      <w:spacing w:after="0" w:line="240" w:lineRule="auto"/>
      <w:jc w:val="both"/>
      <w:rPr>
        <w:rFonts w:ascii="Times New Roman" w:eastAsia="Times New Roman" w:hAnsi="Times New Roman" w:cs="Times New Roman"/>
        <w:b/>
        <w:color w:val="000000"/>
        <w:sz w:val="24"/>
        <w:lang w:eastAsia="tr-TR"/>
      </w:rPr>
    </w:pPr>
    <w:r w:rsidRPr="00506A39">
      <w:rPr>
        <w:rFonts w:ascii="Times New Roman" w:eastAsia="Times New Roman" w:hAnsi="Times New Roman" w:cs="Times New Roman"/>
        <w:b/>
        <w:color w:val="000000"/>
        <w:sz w:val="24"/>
        <w:lang w:eastAsia="tr-TR"/>
      </w:rPr>
      <w:t>Karar Sayısı : 2015/36</w:t>
    </w:r>
  </w:p>
  <w:p w:rsidR="0007721D" w:rsidRPr="0007721D" w:rsidRDefault="0007721D" w:rsidP="0007721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721D"/>
    <w:rsid w:val="0007721D"/>
    <w:rsid w:val="00C628D3"/>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7EE7FD-B0AC-4191-AC54-879074F26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7721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7721D"/>
  </w:style>
  <w:style w:type="paragraph" w:styleId="Altbilgi">
    <w:name w:val="footer"/>
    <w:basedOn w:val="Normal"/>
    <w:link w:val="AltbilgiChar"/>
    <w:uiPriority w:val="99"/>
    <w:unhideWhenUsed/>
    <w:rsid w:val="0007721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7721D"/>
  </w:style>
  <w:style w:type="character" w:styleId="SayfaNumaras">
    <w:name w:val="page number"/>
    <w:basedOn w:val="VarsaylanParagrafYazTipi"/>
    <w:uiPriority w:val="99"/>
    <w:semiHidden/>
    <w:unhideWhenUsed/>
    <w:rsid w:val="000772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6877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1322</Words>
  <Characters>7541</Characters>
  <Application>Microsoft Office Word</Application>
  <DocSecurity>0</DocSecurity>
  <Lines>62</Lines>
  <Paragraphs>17</Paragraphs>
  <ScaleCrop>false</ScaleCrop>
  <Company/>
  <LinksUpToDate>false</LinksUpToDate>
  <CharactersWithSpaces>8846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2019-02-27T10:38:00Z</dcterms:created>
  <dcterms:modified xsi:type="dcterms:W3CDTF">2019-02-27T10:40:00Z</dcterms:modified>
</cp:coreProperties>
</file>