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21" w:rsidRPr="00304521" w:rsidRDefault="00304521" w:rsidP="00304521">
      <w:pPr>
        <w:tabs>
          <w:tab w:val="left" w:pos="1134"/>
        </w:tabs>
        <w:spacing w:before="100" w:beforeAutospacing="1" w:after="100" w:afterAutospacing="1"/>
        <w:ind w:firstLine="709"/>
        <w:jc w:val="both"/>
        <w:rPr>
          <w:i/>
          <w:szCs w:val="26"/>
        </w:rPr>
      </w:pPr>
      <w:bookmarkStart w:id="0" w:name="_GoBack"/>
      <w:bookmarkEnd w:id="0"/>
      <w:r w:rsidRPr="00304521">
        <w:rPr>
          <w:i/>
          <w:szCs w:val="26"/>
        </w:rPr>
        <w:t>"...</w:t>
      </w:r>
    </w:p>
    <w:p w:rsidR="00304521" w:rsidRDefault="00304521" w:rsidP="00304521">
      <w:pPr>
        <w:tabs>
          <w:tab w:val="left" w:pos="1134"/>
        </w:tabs>
        <w:spacing w:before="100" w:beforeAutospacing="1" w:after="100" w:afterAutospacing="1"/>
        <w:ind w:firstLine="709"/>
        <w:jc w:val="both"/>
        <w:rPr>
          <w:rStyle w:val="Gvdemetni4talikdeil"/>
          <w:sz w:val="24"/>
          <w:szCs w:val="26"/>
        </w:rPr>
      </w:pPr>
      <w:r w:rsidRPr="00304521">
        <w:rPr>
          <w:i/>
          <w:szCs w:val="26"/>
        </w:rPr>
        <w:t>“Sanıklara yüklenen suç ve bu suçun yasal unsurları, 1072 sayılı Rulet, Tilt, Langırt ve benzeri oyun alet ve makinaları hakkındaki Yasa’nın 1. maddesinde düzenlenmiştir. Yasanın 2. maddesinin 1. fıkrası ceza yaptırımını düzenlemiştir. 1. maddede tanımlanan suç seçimlik hareketli suçlardan olup, maddede belirtilen alet ve makinalar ile benzerlerini bulundurmak veya çalıştırmak veya yurda sokmak yahut imal etmek suretiyle işlenmesi yaptırıma bağlanmıştır. Yasa’nın 2. maddesinin 1. fıkrası faile, bir yıldan beş yıla kadar hapis ve yüz günden bin güne kadar adli para cezası verilebileceğini öngörmektedir. Sanıklar hakkında 1072 sayılı Rulet, Tilt, Langırt ve Benzeri Oyun Aletleri ve Makinaları Hakkında Yasa’nın 1. maddesinin 1. fıkrasında belirtilen “</w:t>
      </w:r>
      <w:r w:rsidRPr="00304521">
        <w:rPr>
          <w:rStyle w:val="Gvdemetnitalik"/>
          <w:sz w:val="24"/>
          <w:szCs w:val="26"/>
        </w:rPr>
        <w:t xml:space="preserve">Türk Ceza Kanunu’nun 228. maddesinin kapsamı dışında kalsa bile umuma mahsus veya umuma açık yerlerde her ne ad altında olursa olsun kazanç kasdiyle oynanmasa dahi …. langırt vb. … maharet isteyen, otomatik, </w:t>
      </w:r>
      <w:r w:rsidRPr="00304521">
        <w:rPr>
          <w:i/>
          <w:szCs w:val="26"/>
        </w:rPr>
        <w:t>yarı otomatik el veya ayakla kullanılan oyun, alet veya makineleri ile benzerlerini bulundurma veya çalıştırmak veya yurda sokmak yahut imal etmek yasaktır</w:t>
      </w:r>
      <w:r w:rsidRPr="00304521">
        <w:rPr>
          <w:rStyle w:val="Gvdemetni4talikdeil"/>
          <w:sz w:val="24"/>
          <w:szCs w:val="26"/>
        </w:rPr>
        <w:t>” ve aynı Yasa’nın 2. maddesinde “</w:t>
      </w:r>
      <w:r w:rsidRPr="00304521">
        <w:rPr>
          <w:i/>
          <w:szCs w:val="26"/>
        </w:rPr>
        <w:t>bu kanuna aykırı hareket edenler 1 yıldan 5 yıla kadar hapis ve yüz günden bin güne kadar adli para cezası ile cezalandırılır</w:t>
      </w:r>
      <w:r w:rsidRPr="00304521">
        <w:rPr>
          <w:rStyle w:val="Gvdemetni4talikdeil"/>
          <w:sz w:val="24"/>
          <w:szCs w:val="26"/>
        </w:rPr>
        <w:t>” ibarelerinin açıkça Anayasa’nın 2., 10., 11. ve 13. maddelerine aykırı olması nedeniyle Anayasa’nın 152. maddesi yoluyla iptali istemi ile Anayasa Mahkemesi’ne başvurulması gerekmiştir.</w:t>
      </w:r>
    </w:p>
    <w:p w:rsidR="00304521" w:rsidRDefault="00304521" w:rsidP="00304521">
      <w:pPr>
        <w:tabs>
          <w:tab w:val="left" w:pos="1134"/>
        </w:tabs>
        <w:spacing w:before="100" w:beforeAutospacing="1" w:after="100" w:afterAutospacing="1"/>
        <w:ind w:firstLine="709"/>
        <w:jc w:val="both"/>
        <w:rPr>
          <w:i/>
          <w:szCs w:val="26"/>
        </w:rPr>
      </w:pPr>
      <w:r w:rsidRPr="00304521">
        <w:rPr>
          <w:i/>
          <w:szCs w:val="26"/>
        </w:rPr>
        <w:t>Ceza hukukunun toplumun kültür ve uygarlık düzeyi, sosyal ve ekonomik yaşantısıyla ilgili bulunması nedeniyle suç ve suçlulukla mücadele amacıyla ceza ve ceza yargılaması alanında sistem tercihinde bulunulması devletin ceza siyaseti ile ilgilidir. Bu bağlamda hukuk devletinde, ceza hukukuna ilişkin düzenlemeler bakımından kanun koyucu Anayasa’nın temel ilkelerine ve ceza hukukunun ana kurallarına bağlı kalmak koşuluyla, toplumda belli eylemlerin suç sayılıp sayılmaması, suç sayıldıkları takdirde hangi çeşit ve ölçülerdeki ceza yaptırımlarıyla karşılanmaları gerektiği, hangi hal ve hareketlerin ağırlaştırıcı ya da hafifletici unsur olarak kabul edileceği gibi konularda takdir yetkisine sahip olduğu gibi, ceza yargılamasına ilişkin kurallar belirleme ve bu çerçevede mahkemelerin kuruluşu, görev ve yetkileri, işleyişi, yargılama usulleri ve yapısı hakkında da Anayasa kurallarına bağlı olmak koşuluyla ihtiyaç duyduğu düzenlemeyi yapma yetkisine sahiptir.</w:t>
      </w:r>
    </w:p>
    <w:p w:rsidR="00304521" w:rsidRP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İnsan haklarına saygılı devlet, Anayasanın 2. maddesinde yer alan “insan haklarına saygılı devlet”in ne anlama geldiği, ancak Anayasa’nın diğer maddelerinde insan hakları konusunda yapılan düzenlemelere bakılarak anlaşılabilir. Anayasamızda temel hak ve özgürlükler üçlü ayrıma uygun olarak düzenlenmişlerdir: Kişinin hakları ve ödevleri, sosyal ve ekonomik haklar ve ödevler, siyasal haklar ve ödevler. Bir temel hak ve özgürlük, ancak yasa ile ve Anayasada kendi maddesinde sayılan nedenlerle sınırlanabilir. Bu sınırlamalar temel hak ve özgürlüklerin özüne dokunamaz; aynı zamanda demokratik toplum düzeninin gereklerine ve ölçülülük ilkesine uygun olmak zorundadır.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 xml:space="preserve">Yasaların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Hukuk devletinin var olabilmesi için demokratik siyasi rejimin varlığı şarttır. Demokrasiler, temel hak ve </w:t>
      </w:r>
      <w:r w:rsidRPr="00304521">
        <w:rPr>
          <w:rFonts w:ascii="Times New Roman" w:hAnsi="Times New Roman" w:cs="Times New Roman"/>
          <w:i/>
          <w:sz w:val="24"/>
          <w:szCs w:val="26"/>
        </w:rPr>
        <w:lastRenderedPageBreak/>
        <w:t>özgürlüklerin en geniş ölçüde sağlanıp güvence altına alındığı rejimlerdir. Özgürlükçü olmak yanında hukuk devleti olmak ve kişiyi ön planda tutmak da demokrasinin ögelerindendir. Sosyal devlet, hukuk devletinin ileri aşamasıdır. Kısa tanımıyla sosyal devlet, toplumdaki güçsüzleri güçlüler karşısında koruyarak gerçek eşitliği, yani sosyal adaleti ve toplumsal dengeyi sağlamakla yükümlü devlettir. Anayasa’nın 2. maddesi, Türkiye Cumhuriyeti’nin bir hukuk devleti olduğunu, 10. maddesi ise, herkesin dil, ırk, renk, cinsiyet, siyasi düşünce, felsefi inanç, din ve mezhep benzeri sebeplerle ayrım gözetilmeksizin kanun önünde eşit olduğunu düzenlemektedir.</w:t>
      </w:r>
    </w:p>
    <w:p w:rsidR="00304521" w:rsidRP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Anayasa Mahkemesi kararlarında belirtildiği üzere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kuralları bağlı tutulursa Anayasa’nın öngördüğü eşitlik çiğnenmiş olmaz. 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 Anayasa’nın başlangıç ilkelerinde de bu husus,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“fikir, inanç ve kararıyla anlaşılmak, sözüne ve ruhuna bu yönde saygı ve mutlak sadakatle yorumlanıp uygulanmak üzere” şeklinde vurgulanmıştır. Bu düzenleme biçiminden ve içeriğinden, anayasal temel hak ve özgürlüklerden eşitlik gereklerince yararlanmanın, yurttaşların “onurlu bir hayat sürdürme” hakkı ile “maddî ve manevî varlığını bu yönde geliştirme” hakkının aracı olduğu</w:t>
      </w:r>
      <w:r w:rsidRPr="00304521">
        <w:rPr>
          <w:rFonts w:ascii="Times New Roman" w:hAnsi="Times New Roman" w:cs="Times New Roman"/>
          <w:i/>
          <w:sz w:val="24"/>
          <w:szCs w:val="26"/>
        </w:rPr>
        <w:br/>
        <w:t>anlaşılıyor. “Doğal hak” sayılan söz konusu iki hak, bölünmezlik ve karşılıklı bağımlılık</w:t>
      </w:r>
      <w:r w:rsidRPr="00304521">
        <w:rPr>
          <w:rFonts w:ascii="Times New Roman" w:hAnsi="Times New Roman" w:cs="Times New Roman"/>
          <w:i/>
          <w:sz w:val="24"/>
          <w:szCs w:val="26"/>
        </w:rPr>
        <w:br/>
        <w:t>ilkelerine uygun olarak, Anayasa’da güvenceye bağlanan haklar arasında ayrım</w:t>
      </w:r>
      <w:r w:rsidRPr="00304521">
        <w:rPr>
          <w:rFonts w:ascii="Times New Roman" w:hAnsi="Times New Roman" w:cs="Times New Roman"/>
          <w:i/>
          <w:sz w:val="24"/>
          <w:szCs w:val="26"/>
        </w:rPr>
        <w:br/>
        <w:t>gözetmeksizin, tüm haklardan “eşitlik gereklerince” yararlanmakla gerçekleştirilebilir. Eşitlik</w:t>
      </w:r>
      <w:r w:rsidRPr="00304521">
        <w:rPr>
          <w:rFonts w:ascii="Times New Roman" w:hAnsi="Times New Roman" w:cs="Times New Roman"/>
          <w:i/>
          <w:sz w:val="24"/>
          <w:szCs w:val="26"/>
        </w:rPr>
        <w:br/>
        <w:t>ve sosyal adaletin birlikte anılmış olması, eşitliğin “sosyal” boyutu ile birlikte düşünüldüğünü</w:t>
      </w:r>
      <w:r w:rsidRPr="00304521">
        <w:rPr>
          <w:rFonts w:ascii="Times New Roman" w:hAnsi="Times New Roman" w:cs="Times New Roman"/>
          <w:i/>
          <w:sz w:val="24"/>
          <w:szCs w:val="26"/>
        </w:rPr>
        <w:br/>
        <w:t>ve maddenin maddi eşitliği de kapsayacak bir anlam taşıdığını açıkça göstermektedir.</w:t>
      </w:r>
      <w:r w:rsidRPr="00304521">
        <w:rPr>
          <w:rFonts w:ascii="Times New Roman" w:hAnsi="Times New Roman" w:cs="Times New Roman"/>
          <w:i/>
          <w:sz w:val="24"/>
          <w:szCs w:val="26"/>
        </w:rPr>
        <w:br/>
        <w:t>Anayasa’nın başlangıç kısmında geçen anayasal haklardan eşitlik gereklerince yararlanma</w:t>
      </w:r>
      <w:r w:rsidRPr="00304521">
        <w:rPr>
          <w:rFonts w:ascii="Times New Roman" w:hAnsi="Times New Roman" w:cs="Times New Roman"/>
          <w:i/>
          <w:sz w:val="24"/>
          <w:szCs w:val="26"/>
        </w:rPr>
        <w:br/>
        <w:t>ilkesi Anayasa’ya uygunluk denetiminde göz önüne alınabilecek kadar somutluk ve açıklık</w:t>
      </w:r>
      <w:r w:rsidRPr="00304521">
        <w:rPr>
          <w:rFonts w:ascii="Times New Roman" w:hAnsi="Times New Roman" w:cs="Times New Roman"/>
          <w:i/>
          <w:sz w:val="24"/>
          <w:szCs w:val="26"/>
        </w:rPr>
        <w:br/>
        <w:t>içermekte, norm değeri taşımakta ve eylemli eşitliğin güvencesi olarak 10. maddeyi</w:t>
      </w:r>
      <w:r w:rsidRPr="00304521">
        <w:rPr>
          <w:rFonts w:ascii="Times New Roman" w:hAnsi="Times New Roman" w:cs="Times New Roman"/>
          <w:i/>
          <w:sz w:val="24"/>
          <w:szCs w:val="26"/>
        </w:rPr>
        <w:br/>
        <w:t>tamamlamakta, pekiştirmektedir.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Anayasalar ülkelerin temel hukuki metinleri olarak ele alınmakta, buna istinaden</w:t>
      </w:r>
      <w:r w:rsidRPr="00304521">
        <w:rPr>
          <w:rFonts w:ascii="Times New Roman" w:hAnsi="Times New Roman" w:cs="Times New Roman"/>
          <w:i/>
          <w:sz w:val="24"/>
          <w:szCs w:val="26"/>
        </w:rPr>
        <w:br/>
        <w:t>kanunlar, kanun hükmünde kararnameler, tüzükler, yönetmelikler ve benzeri isimler altında</w:t>
      </w:r>
      <w:r w:rsidRPr="00304521">
        <w:rPr>
          <w:rFonts w:ascii="Times New Roman" w:hAnsi="Times New Roman" w:cs="Times New Roman"/>
          <w:i/>
          <w:sz w:val="24"/>
          <w:szCs w:val="26"/>
        </w:rPr>
        <w:br/>
        <w:t>hukuki metinler çıkarılmaktadır. Hukuk düzeni bir piramide benzetilecek olursa, bu piramit</w:t>
      </w:r>
      <w:r w:rsidRPr="00304521">
        <w:rPr>
          <w:rFonts w:ascii="Times New Roman" w:hAnsi="Times New Roman" w:cs="Times New Roman"/>
          <w:i/>
          <w:sz w:val="24"/>
          <w:szCs w:val="26"/>
        </w:rPr>
        <w:br/>
        <w:t>anayasa, kanun, tüzük, yönetmelik ve diğer alt düzenleyici işlemlerden oluşan birden çok</w:t>
      </w:r>
      <w:r w:rsidRPr="00304521">
        <w:rPr>
          <w:rFonts w:ascii="Times New Roman" w:hAnsi="Times New Roman" w:cs="Times New Roman"/>
          <w:i/>
          <w:sz w:val="24"/>
          <w:szCs w:val="26"/>
        </w:rPr>
        <w:br/>
        <w:t>normun varlığını ifade etmektedir.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Anayasanın 11/2. maddesinde ise kanunların Anayasa’ya aykırı olamayacağı</w:t>
      </w:r>
      <w:r w:rsidRPr="00304521">
        <w:rPr>
          <w:rFonts w:ascii="Times New Roman" w:hAnsi="Times New Roman" w:cs="Times New Roman"/>
          <w:i/>
          <w:sz w:val="24"/>
          <w:szCs w:val="26"/>
        </w:rPr>
        <w:br/>
        <w:t>şeklindeki düzenlemeyle Anayasa’nın bağlayıcılığı ve üstünlüğü açıkça vurgulanmış ve</w:t>
      </w:r>
      <w:r w:rsidRPr="00304521">
        <w:rPr>
          <w:rFonts w:ascii="Times New Roman" w:hAnsi="Times New Roman" w:cs="Times New Roman"/>
          <w:i/>
          <w:sz w:val="24"/>
          <w:szCs w:val="26"/>
        </w:rPr>
        <w:br/>
        <w:t>hukuk hiyerarşisi adına temel bir kural belirtilmiştir.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Anayasa’nın 13. maddesinde temel hak ve hürriyetlerin uluslararası sözleşmelerde</w:t>
      </w:r>
      <w:r w:rsidRPr="00304521">
        <w:rPr>
          <w:rFonts w:ascii="Times New Roman" w:hAnsi="Times New Roman" w:cs="Times New Roman"/>
          <w:i/>
          <w:sz w:val="24"/>
          <w:szCs w:val="26"/>
        </w:rPr>
        <w:br/>
        <w:t>ve uygulamalarda kabul edildiği üzere mutlak ve sınırsız olmadığı ve bunların çeşitli şartlar</w:t>
      </w:r>
      <w:r w:rsidRPr="00304521">
        <w:rPr>
          <w:rFonts w:ascii="Times New Roman" w:hAnsi="Times New Roman" w:cs="Times New Roman"/>
          <w:i/>
          <w:sz w:val="24"/>
          <w:szCs w:val="26"/>
        </w:rPr>
        <w:br/>
      </w:r>
      <w:r w:rsidRPr="00304521">
        <w:rPr>
          <w:rFonts w:ascii="Times New Roman" w:hAnsi="Times New Roman" w:cs="Times New Roman"/>
          <w:i/>
          <w:sz w:val="24"/>
          <w:szCs w:val="26"/>
        </w:rPr>
        <w:lastRenderedPageBreak/>
        <w:t>altında sınırlandırılabileceği kabul edilmiştir. Ancak, bu hak ve özgürlükler sınırlandırılırken</w:t>
      </w:r>
      <w:r w:rsidRPr="00304521">
        <w:rPr>
          <w:rFonts w:ascii="Times New Roman" w:hAnsi="Times New Roman" w:cs="Times New Roman"/>
          <w:i/>
          <w:sz w:val="24"/>
          <w:szCs w:val="26"/>
        </w:rPr>
        <w:br/>
        <w:t>sınırlamanın, Anayasa’nın ilgili maddelerinde belirtilen nedenlere bağlı olarak kanunla</w:t>
      </w:r>
      <w:r w:rsidRPr="00304521">
        <w:rPr>
          <w:rFonts w:ascii="Times New Roman" w:hAnsi="Times New Roman" w:cs="Times New Roman"/>
          <w:i/>
          <w:sz w:val="24"/>
          <w:szCs w:val="26"/>
        </w:rPr>
        <w:br/>
        <w:t>yapılması ve hakların özüne dokunmaması, Anayasa’nın sözüne ve ruhuna, demokratik</w:t>
      </w:r>
      <w:r w:rsidRPr="00304521">
        <w:rPr>
          <w:rFonts w:ascii="Times New Roman" w:hAnsi="Times New Roman" w:cs="Times New Roman"/>
          <w:i/>
          <w:sz w:val="24"/>
          <w:szCs w:val="26"/>
        </w:rPr>
        <w:br/>
        <w:t>toplum düzeninin gereklerine ve ölçülülük ilkesine aykırı olmaması gerekir. Diğer bir</w:t>
      </w:r>
      <w:r w:rsidRPr="00304521">
        <w:rPr>
          <w:rFonts w:ascii="Times New Roman" w:hAnsi="Times New Roman" w:cs="Times New Roman"/>
          <w:i/>
          <w:sz w:val="24"/>
          <w:szCs w:val="26"/>
        </w:rPr>
        <w:br/>
        <w:t>anlatımla Anayasanın ilgili maddelerinde belirtilen sebeplere bağlı olarak ve ancak kanunla</w:t>
      </w:r>
      <w:r w:rsidRPr="00304521">
        <w:rPr>
          <w:rFonts w:ascii="Times New Roman" w:hAnsi="Times New Roman" w:cs="Times New Roman"/>
          <w:i/>
          <w:sz w:val="24"/>
          <w:szCs w:val="26"/>
        </w:rPr>
        <w:br/>
        <w:t>sınırlanabileceğini, ... bu sınırlamaların, ... ölçülülük ilkesine aykırı olamayacağını” hükme</w:t>
      </w:r>
      <w:r w:rsidRPr="00304521">
        <w:rPr>
          <w:rFonts w:ascii="Times New Roman" w:hAnsi="Times New Roman" w:cs="Times New Roman"/>
          <w:i/>
          <w:sz w:val="24"/>
          <w:szCs w:val="26"/>
        </w:rPr>
        <w:br/>
        <w:t>bağlamıştır. Hukuk devletinin bir gereği olan “ölçülülük” ilkesi yasa koyucu için</w:t>
      </w:r>
      <w:r w:rsidRPr="00304521">
        <w:rPr>
          <w:rFonts w:ascii="Times New Roman" w:hAnsi="Times New Roman" w:cs="Times New Roman"/>
          <w:i/>
          <w:sz w:val="24"/>
          <w:szCs w:val="26"/>
        </w:rPr>
        <w:br/>
        <w:t>bağlayıcıdır. Bu ilke, Anayasa Mahkemesi’nin çeşitli kararlarında vurgulandığı gibi</w:t>
      </w:r>
      <w:r w:rsidRPr="00304521">
        <w:rPr>
          <w:rFonts w:ascii="Times New Roman" w:hAnsi="Times New Roman" w:cs="Times New Roman"/>
          <w:i/>
          <w:sz w:val="24"/>
          <w:szCs w:val="26"/>
        </w:rPr>
        <w:br/>
        <w:t>“elverişlilik”, “gereklilik” ve “orantılılık” ilkelerini içerir. “Elverişlilik”, getirilen kuralın</w:t>
      </w:r>
      <w:r w:rsidRPr="00304521">
        <w:rPr>
          <w:rFonts w:ascii="Times New Roman" w:hAnsi="Times New Roman" w:cs="Times New Roman"/>
          <w:i/>
          <w:sz w:val="24"/>
          <w:szCs w:val="26"/>
        </w:rPr>
        <w:br/>
        <w:t>ulaşılmak istenen amaç için elverişli olmasını, “gereklilik”, getirilen kuralın, ulaşılmak</w:t>
      </w:r>
      <w:r w:rsidRPr="00304521">
        <w:rPr>
          <w:rFonts w:ascii="Times New Roman" w:hAnsi="Times New Roman" w:cs="Times New Roman"/>
          <w:i/>
          <w:sz w:val="24"/>
          <w:szCs w:val="26"/>
        </w:rPr>
        <w:br/>
        <w:t>istenen amaç bakımından gerekli olmasını ve “orantılılık” ise, getirilen kural ile ulaşılmak</w:t>
      </w:r>
      <w:r w:rsidRPr="00304521">
        <w:rPr>
          <w:rFonts w:ascii="Times New Roman" w:hAnsi="Times New Roman" w:cs="Times New Roman"/>
          <w:i/>
          <w:sz w:val="24"/>
          <w:szCs w:val="26"/>
        </w:rPr>
        <w:br/>
        <w:t>istenen amaç arasında olması gereken ölçüyü ifade eder. (Anayasa Mahkemesinin 27.10.2011</w:t>
      </w:r>
      <w:r w:rsidRPr="00304521">
        <w:rPr>
          <w:rFonts w:ascii="Times New Roman" w:hAnsi="Times New Roman" w:cs="Times New Roman"/>
          <w:i/>
          <w:sz w:val="24"/>
          <w:szCs w:val="26"/>
        </w:rPr>
        <w:br/>
        <w:t>tarihli 2010/71 esas, 2011/143 karar sayılı kararı.)</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Öte yandan, temel hak ve özgürlükler ancak Anayasa’nın ilgili maddelerinde</w:t>
      </w:r>
      <w:r w:rsidRPr="00304521">
        <w:rPr>
          <w:rFonts w:ascii="Times New Roman" w:hAnsi="Times New Roman" w:cs="Times New Roman"/>
          <w:i/>
          <w:sz w:val="24"/>
          <w:szCs w:val="26"/>
        </w:rPr>
        <w:br/>
        <w:t>belirtilen nedenlere bağlı olarak sınırlandırılabilir. Ancak bu, düzenlendiği maddede hiçbir</w:t>
      </w:r>
      <w:r w:rsidRPr="00304521">
        <w:rPr>
          <w:rFonts w:ascii="Times New Roman" w:hAnsi="Times New Roman" w:cs="Times New Roman"/>
          <w:i/>
          <w:sz w:val="24"/>
          <w:szCs w:val="26"/>
        </w:rPr>
        <w:br/>
        <w:t>sınırlama nedenine yer verilmeyen hakların tamamının mutlak olduğunu ve bu hakların hiçbir</w:t>
      </w:r>
      <w:r w:rsidRPr="00304521">
        <w:rPr>
          <w:rFonts w:ascii="Times New Roman" w:hAnsi="Times New Roman" w:cs="Times New Roman"/>
          <w:i/>
          <w:sz w:val="24"/>
          <w:szCs w:val="26"/>
        </w:rPr>
        <w:br/>
        <w:t>şekilde smırlandırılamayacağı anlamını taşımamaktadır. Anayasa Mahkemesinin önceki</w:t>
      </w:r>
      <w:r w:rsidRPr="00304521">
        <w:rPr>
          <w:rFonts w:ascii="Times New Roman" w:hAnsi="Times New Roman" w:cs="Times New Roman"/>
          <w:i/>
          <w:sz w:val="24"/>
          <w:szCs w:val="26"/>
        </w:rPr>
        <w:br/>
        <w:t>kararlarında da belirtildiği gibi temel hak ve hürriyetlerin doğasından kaynaklanan bazı</w:t>
      </w:r>
      <w:r w:rsidRPr="00304521">
        <w:rPr>
          <w:rFonts w:ascii="Times New Roman" w:hAnsi="Times New Roman" w:cs="Times New Roman"/>
          <w:i/>
          <w:sz w:val="24"/>
          <w:szCs w:val="26"/>
        </w:rPr>
        <w:br/>
        <w:t>sınırları bulunduğu gibi, Anayasa’nın başka maddelerinde yer alan kurallar da temel hak ve</w:t>
      </w:r>
      <w:r w:rsidRPr="00304521">
        <w:rPr>
          <w:rFonts w:ascii="Times New Roman" w:hAnsi="Times New Roman" w:cs="Times New Roman"/>
          <w:i/>
          <w:sz w:val="24"/>
          <w:szCs w:val="26"/>
        </w:rPr>
        <w:br/>
        <w:t>hürriyetlerin doğal sınırını oluşturur. Bir başka deyişle, temel hak ve özgürlüklerin</w:t>
      </w:r>
      <w:r w:rsidRPr="00304521">
        <w:rPr>
          <w:rFonts w:ascii="Times New Roman" w:hAnsi="Times New Roman" w:cs="Times New Roman"/>
          <w:i/>
          <w:sz w:val="24"/>
          <w:szCs w:val="26"/>
        </w:rPr>
        <w:br/>
        <w:t>kapsamının ve objektif uygulama alanının her bir norm yönünden bağımsız olarak değil,</w:t>
      </w:r>
      <w:r w:rsidRPr="00304521">
        <w:rPr>
          <w:rFonts w:ascii="Times New Roman" w:hAnsi="Times New Roman" w:cs="Times New Roman"/>
          <w:i/>
          <w:sz w:val="24"/>
          <w:szCs w:val="26"/>
        </w:rPr>
        <w:br/>
        <w:t>Anayasa’nın bütünü içerisindeki anlama göre belirlenmesi gerekir.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Anayasaların şekillenmesinde evrensel değerlerin ve evrensel hukuk normlarının</w:t>
      </w:r>
      <w:r w:rsidRPr="00304521">
        <w:rPr>
          <w:rFonts w:ascii="Times New Roman" w:hAnsi="Times New Roman" w:cs="Times New Roman"/>
          <w:i/>
          <w:sz w:val="24"/>
          <w:szCs w:val="26"/>
        </w:rPr>
        <w:br/>
        <w:t>önemli yeri vardır. Anayasamız, Türkiye Cumhuriyeti’nin bir hukuk devleti olduğunu kabul</w:t>
      </w:r>
      <w:r w:rsidRPr="00304521">
        <w:rPr>
          <w:rFonts w:ascii="Times New Roman" w:hAnsi="Times New Roman" w:cs="Times New Roman"/>
          <w:i/>
          <w:sz w:val="24"/>
          <w:szCs w:val="26"/>
        </w:rPr>
        <w:br/>
        <w:t>etmiştir. Buradan da açıkça görülmektedir ki, hukuk devleti anayasa hukukunun üzerine</w:t>
      </w:r>
      <w:r w:rsidRPr="00304521">
        <w:rPr>
          <w:rFonts w:ascii="Times New Roman" w:hAnsi="Times New Roman" w:cs="Times New Roman"/>
          <w:i/>
          <w:sz w:val="24"/>
          <w:szCs w:val="26"/>
        </w:rPr>
        <w:br/>
        <w:t>kurulmuştur. Ayrıca Devletimiz, İnsan Hakları Avrupa Sözleşmesini imzalayarak burada</w:t>
      </w:r>
      <w:r w:rsidRPr="00304521">
        <w:rPr>
          <w:rFonts w:ascii="Times New Roman" w:hAnsi="Times New Roman" w:cs="Times New Roman"/>
          <w:i/>
          <w:sz w:val="24"/>
          <w:szCs w:val="26"/>
        </w:rPr>
        <w:br/>
        <w:t>kişilere tanınan haklar açısından bir yükümlülük üstlenmiştir. Anayasamızın 90/5. maddesi</w:t>
      </w:r>
      <w:r w:rsidRPr="00304521">
        <w:rPr>
          <w:rFonts w:ascii="Times New Roman" w:hAnsi="Times New Roman" w:cs="Times New Roman"/>
          <w:i/>
          <w:sz w:val="24"/>
          <w:szCs w:val="26"/>
        </w:rPr>
        <w:br/>
        <w:t xml:space="preserve">kapsamında ilgili anlaşmada yer alan temel hak ve özgürlüklere yönelik düzenlemeler, iç hukuka üstün değer kabul edilmiştir. </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Anayasamızın 90/5. maddesi aynen “Usulüne göre yürürlüğe konulmuş</w:t>
      </w:r>
      <w:r w:rsidRPr="00304521">
        <w:rPr>
          <w:rFonts w:ascii="Times New Roman" w:hAnsi="Times New Roman" w:cs="Times New Roman"/>
          <w:i/>
          <w:sz w:val="24"/>
          <w:szCs w:val="26"/>
        </w:rPr>
        <w:br/>
        <w:t>Milletlerarası anlaşmalar kanun hükmündedir. Bunlar hakkında Anayasaya aykırılık iddiası ile</w:t>
      </w:r>
      <w:r w:rsidRPr="00304521">
        <w:rPr>
          <w:rFonts w:ascii="Times New Roman" w:hAnsi="Times New Roman" w:cs="Times New Roman"/>
          <w:i/>
          <w:sz w:val="24"/>
          <w:szCs w:val="26"/>
        </w:rPr>
        <w:br/>
        <w:t>Anayasa Mahkemesi’ne başvurulamaz” hükmünü içermektedir.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Bunun yanı sıra, Anayasa Mahkemesinin Kuruluş ve Yargılama Usulleri</w:t>
      </w:r>
      <w:r w:rsidRPr="00304521">
        <w:rPr>
          <w:rFonts w:ascii="Times New Roman" w:hAnsi="Times New Roman" w:cs="Times New Roman"/>
          <w:i/>
          <w:sz w:val="24"/>
          <w:szCs w:val="26"/>
        </w:rPr>
        <w:br/>
        <w:t>Hakkında Kanunun 42/1. maddesi ise aynen “Usulüne göre yürürlüğe konulmuş milletlerarası</w:t>
      </w:r>
      <w:r w:rsidRPr="00304521">
        <w:rPr>
          <w:rFonts w:ascii="Times New Roman" w:hAnsi="Times New Roman" w:cs="Times New Roman"/>
          <w:i/>
          <w:sz w:val="24"/>
          <w:szCs w:val="26"/>
        </w:rPr>
        <w:br/>
        <w:t>antlaşmalar aleyhine şekil ve esas bakımından iptal davası açılamaz ve mahkemeler</w:t>
      </w:r>
      <w:r w:rsidRPr="00304521">
        <w:rPr>
          <w:rFonts w:ascii="Times New Roman" w:hAnsi="Times New Roman" w:cs="Times New Roman"/>
          <w:i/>
          <w:sz w:val="24"/>
          <w:szCs w:val="26"/>
        </w:rPr>
        <w:br/>
        <w:t>tarafından Anayasaya aykırılık iddiası ileri sürülemez.” hükmünü içermektedir. Birbirini</w:t>
      </w:r>
      <w:r w:rsidRPr="00304521">
        <w:rPr>
          <w:rFonts w:ascii="Times New Roman" w:hAnsi="Times New Roman" w:cs="Times New Roman"/>
          <w:i/>
          <w:sz w:val="24"/>
          <w:szCs w:val="26"/>
        </w:rPr>
        <w:br/>
        <w:t>tamamlayan bu iki hüküm nedeniyle, bu şekilde oluşmuş hukuk normları için, Anayasa</w:t>
      </w:r>
      <w:r w:rsidRPr="00304521">
        <w:rPr>
          <w:rFonts w:ascii="Times New Roman" w:hAnsi="Times New Roman" w:cs="Times New Roman"/>
          <w:i/>
          <w:sz w:val="24"/>
          <w:szCs w:val="26"/>
        </w:rPr>
        <w:br/>
        <w:t>Mahkemesi’ne gidilemeyeceği konusunda, ilmi ve kazai içtihatlar aynı şeyi tekrarlamaktadır.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İnsan hakları, geniş anlamda bir idealdir. Türkiye Cumhuriyeti vatandaşlarının</w:t>
      </w:r>
      <w:r w:rsidRPr="00304521">
        <w:rPr>
          <w:rFonts w:ascii="Times New Roman" w:hAnsi="Times New Roman" w:cs="Times New Roman"/>
          <w:i/>
          <w:sz w:val="24"/>
          <w:szCs w:val="26"/>
        </w:rPr>
        <w:br/>
        <w:t>onurlu bir yaşam sürmeleri, insan oldukları için doğuştan sahip oldukları haklardan ve</w:t>
      </w:r>
      <w:r w:rsidRPr="00304521">
        <w:rPr>
          <w:rFonts w:ascii="Times New Roman" w:hAnsi="Times New Roman" w:cs="Times New Roman"/>
          <w:i/>
          <w:sz w:val="24"/>
          <w:szCs w:val="26"/>
        </w:rPr>
        <w:br/>
        <w:t>özgürlüklerden herhangi bir engelle karşılaşmaksızın yararlanmaları idealidir.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Bu bağlamda Türkiye’nin de tarafı olduğu İnsan Hakları Avrupa</w:t>
      </w:r>
      <w:r w:rsidRPr="00304521">
        <w:rPr>
          <w:rFonts w:ascii="Times New Roman" w:hAnsi="Times New Roman" w:cs="Times New Roman"/>
          <w:i/>
          <w:sz w:val="24"/>
          <w:szCs w:val="26"/>
        </w:rPr>
        <w:br/>
        <w:t>Sözleşmesi’nin “cezaların kanunuliği” başlıklı 7/1. maddesinde “Hiç kimse, işlendiği zaman</w:t>
      </w:r>
      <w:r w:rsidRPr="00304521">
        <w:rPr>
          <w:rFonts w:ascii="Times New Roman" w:hAnsi="Times New Roman" w:cs="Times New Roman"/>
          <w:i/>
          <w:sz w:val="24"/>
          <w:szCs w:val="26"/>
        </w:rPr>
        <w:br/>
        <w:t>ulusal ve</w:t>
      </w:r>
      <w:r w:rsidRPr="00304521">
        <w:rPr>
          <w:rStyle w:val="Gvdemetnitalik"/>
          <w:rFonts w:eastAsiaTheme="minorHAnsi"/>
          <w:sz w:val="24"/>
          <w:szCs w:val="26"/>
        </w:rPr>
        <w:t xml:space="preserve"> uluslararası hukuk çerçevesinde bir suc oluşturmayan herhangi bir eylem ya da</w:t>
      </w:r>
      <w:r w:rsidRPr="00304521">
        <w:rPr>
          <w:rStyle w:val="Gvdemetnitalik"/>
          <w:rFonts w:eastAsiaTheme="minorHAnsi"/>
          <w:sz w:val="24"/>
          <w:szCs w:val="26"/>
        </w:rPr>
        <w:br/>
      </w:r>
      <w:r w:rsidRPr="00304521">
        <w:rPr>
          <w:rStyle w:val="Gvdemetnitalik"/>
          <w:rFonts w:eastAsiaTheme="minorHAnsi"/>
          <w:sz w:val="24"/>
          <w:szCs w:val="26"/>
        </w:rPr>
        <w:lastRenderedPageBreak/>
        <w:t>ihmalden ötürü suçlu bulunmayacaktır.</w:t>
      </w:r>
      <w:r w:rsidRPr="00304521">
        <w:rPr>
          <w:rFonts w:ascii="Times New Roman" w:hAnsi="Times New Roman" w:cs="Times New Roman"/>
          <w:i/>
          <w:sz w:val="24"/>
          <w:szCs w:val="26"/>
        </w:rPr>
        <w:t xml:space="preserve"> Hiç kimseye, suç işlediği zaman verilebilecek olan</w:t>
      </w:r>
      <w:r w:rsidRPr="00304521">
        <w:rPr>
          <w:rFonts w:ascii="Times New Roman" w:hAnsi="Times New Roman" w:cs="Times New Roman"/>
          <w:i/>
          <w:sz w:val="24"/>
          <w:szCs w:val="26"/>
        </w:rPr>
        <w:br/>
        <w:t>cezadan daha ağır bir ceza verilmeyecektir.”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Aynı maddenin 2. fıkrası ise, “Bu madde, işlendiği zaman,</w:t>
      </w:r>
      <w:r w:rsidRPr="00304521">
        <w:rPr>
          <w:rStyle w:val="Gvdemetnitalik"/>
          <w:rFonts w:eastAsiaTheme="minorHAnsi"/>
          <w:sz w:val="24"/>
          <w:szCs w:val="26"/>
        </w:rPr>
        <w:t xml:space="preserve"> uygar uluslar</w:t>
      </w:r>
      <w:r w:rsidRPr="00304521">
        <w:rPr>
          <w:rStyle w:val="Gvdemetnitalik"/>
          <w:rFonts w:eastAsiaTheme="minorHAnsi"/>
          <w:sz w:val="24"/>
          <w:szCs w:val="26"/>
        </w:rPr>
        <w:br/>
        <w:t>tarafından tanınmış hukukun genel ilkeleri uyarınca suç</w:t>
      </w:r>
      <w:r w:rsidRPr="00304521">
        <w:rPr>
          <w:rFonts w:ascii="Times New Roman" w:hAnsi="Times New Roman" w:cs="Times New Roman"/>
          <w:i/>
          <w:sz w:val="24"/>
          <w:szCs w:val="26"/>
        </w:rPr>
        <w:t xml:space="preserve"> sayılan herhangi bir eylemden ya da</w:t>
      </w:r>
      <w:r w:rsidRPr="00304521">
        <w:rPr>
          <w:rFonts w:ascii="Times New Roman" w:hAnsi="Times New Roman" w:cs="Times New Roman"/>
          <w:i/>
          <w:sz w:val="24"/>
          <w:szCs w:val="26"/>
        </w:rPr>
        <w:br/>
        <w:t>ihmalden ötürü herhangi bir kişinin yargılanmasına ve cezalandırılmasına engel</w:t>
      </w:r>
      <w:r w:rsidRPr="00304521">
        <w:rPr>
          <w:rFonts w:ascii="Times New Roman" w:hAnsi="Times New Roman" w:cs="Times New Roman"/>
          <w:i/>
          <w:sz w:val="24"/>
          <w:szCs w:val="26"/>
        </w:rPr>
        <w:br/>
        <w:t>olmayacaktır.” şeklindedir. Bu madde hükmü uyarınca sözleşmeye taraf devlet hukukuna</w:t>
      </w:r>
      <w:r w:rsidRPr="00304521">
        <w:rPr>
          <w:rFonts w:ascii="Times New Roman" w:hAnsi="Times New Roman" w:cs="Times New Roman"/>
          <w:i/>
          <w:sz w:val="24"/>
          <w:szCs w:val="26"/>
        </w:rPr>
        <w:br/>
        <w:t>göre suç sayılan bir eylem, uluslararası alanda benimsenen hukukun genel ilkeleri uyarınca</w:t>
      </w:r>
      <w:r w:rsidRPr="00304521">
        <w:rPr>
          <w:rFonts w:ascii="Times New Roman" w:hAnsi="Times New Roman" w:cs="Times New Roman"/>
          <w:i/>
          <w:sz w:val="24"/>
          <w:szCs w:val="26"/>
        </w:rPr>
        <w:br/>
        <w:t>suç kapsamında değerlendirilmediği takdirde, bu eylemden dolayı kişiye ceza verilmesi</w:t>
      </w:r>
      <w:r w:rsidRPr="00304521">
        <w:rPr>
          <w:rFonts w:ascii="Times New Roman" w:hAnsi="Times New Roman" w:cs="Times New Roman"/>
          <w:i/>
          <w:sz w:val="24"/>
          <w:szCs w:val="26"/>
        </w:rPr>
        <w:br/>
        <w:t>sözleşmeye aykırılık teşkil edecektir.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Diğer taraftan, 5237 sayılı TCY.nın 228. maddesinin birinci fıkrasında kumar</w:t>
      </w:r>
      <w:r w:rsidRPr="00304521">
        <w:rPr>
          <w:rFonts w:ascii="Times New Roman" w:hAnsi="Times New Roman" w:cs="Times New Roman"/>
          <w:i/>
          <w:sz w:val="24"/>
          <w:szCs w:val="26"/>
        </w:rPr>
        <w:br/>
        <w:t>oynanması için yer ve imkan sağlanması eylemi bir yıla kadar hapis ve adli para cezası ile</w:t>
      </w:r>
      <w:r w:rsidRPr="00304521">
        <w:rPr>
          <w:rFonts w:ascii="Times New Roman" w:hAnsi="Times New Roman" w:cs="Times New Roman"/>
          <w:i/>
          <w:sz w:val="24"/>
          <w:szCs w:val="26"/>
        </w:rPr>
        <w:br/>
        <w:t>yaptırım altına alınmış, hapis cezasının alt sınırının 5237 sayılı TCY.nın 49/1. maddesine</w:t>
      </w:r>
      <w:r w:rsidRPr="00304521">
        <w:rPr>
          <w:rFonts w:ascii="Times New Roman" w:hAnsi="Times New Roman" w:cs="Times New Roman"/>
          <w:i/>
          <w:sz w:val="24"/>
          <w:szCs w:val="26"/>
        </w:rPr>
        <w:br/>
        <w:t>göre bir aydan az olamayacağı, yine adli para cezasının alt sınırının da aynı Yasanın 52/1.</w:t>
      </w:r>
      <w:r w:rsidRPr="00304521">
        <w:rPr>
          <w:rFonts w:ascii="Times New Roman" w:hAnsi="Times New Roman" w:cs="Times New Roman"/>
          <w:i/>
          <w:sz w:val="24"/>
          <w:szCs w:val="26"/>
        </w:rPr>
        <w:br/>
        <w:t>maddesine göre beş günden az, üst sınırının yedi yüz otuz günden fazla olamayacağı şeklinde</w:t>
      </w:r>
      <w:r w:rsidRPr="00304521">
        <w:rPr>
          <w:rFonts w:ascii="Times New Roman" w:hAnsi="Times New Roman" w:cs="Times New Roman"/>
          <w:i/>
          <w:sz w:val="24"/>
          <w:szCs w:val="26"/>
        </w:rPr>
        <w:br/>
        <w:t>düzenlenmiş olup, aynı Yasanın 228. maddesinin üçüncü fıkrasında Ceza Kanunu’nun</w:t>
      </w:r>
      <w:r w:rsidRPr="00304521">
        <w:rPr>
          <w:rFonts w:ascii="Times New Roman" w:hAnsi="Times New Roman" w:cs="Times New Roman"/>
          <w:i/>
          <w:sz w:val="24"/>
          <w:szCs w:val="26"/>
        </w:rPr>
        <w:br/>
        <w:t>uygulanmasında kumar, kazanç amacıyla icra edilen ve kâr ve zararın talihe bağlı olduğu</w:t>
      </w:r>
      <w:r w:rsidRPr="00304521">
        <w:rPr>
          <w:rFonts w:ascii="Times New Roman" w:hAnsi="Times New Roman" w:cs="Times New Roman"/>
          <w:i/>
          <w:sz w:val="24"/>
          <w:szCs w:val="26"/>
        </w:rPr>
        <w:br/>
        <w:t>oyunlar şeklinde tanımlanmıştır. 5326 sayılı Kabahatler Yasası’nın 34. maddesinin birinci</w:t>
      </w:r>
      <w:r w:rsidRPr="00304521">
        <w:rPr>
          <w:rFonts w:ascii="Times New Roman" w:hAnsi="Times New Roman" w:cs="Times New Roman"/>
          <w:i/>
          <w:sz w:val="24"/>
          <w:szCs w:val="26"/>
        </w:rPr>
        <w:br/>
        <w:t>fıkrası uyarınca da kumar oynayan kişinin idari para cezası ile cezalandırılacağı hüküm altına</w:t>
      </w:r>
      <w:r w:rsidRPr="00304521">
        <w:rPr>
          <w:rFonts w:ascii="Times New Roman" w:hAnsi="Times New Roman" w:cs="Times New Roman"/>
          <w:i/>
          <w:sz w:val="24"/>
          <w:szCs w:val="26"/>
        </w:rPr>
        <w:br/>
        <w:t>alınmıştır.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Style w:val="Gvdemetni4talikdeil"/>
          <w:rFonts w:ascii="Times New Roman" w:hAnsi="Times New Roman" w:cs="Times New Roman"/>
          <w:sz w:val="24"/>
          <w:szCs w:val="26"/>
        </w:rPr>
      </w:pPr>
      <w:r w:rsidRPr="00304521">
        <w:rPr>
          <w:rFonts w:ascii="Times New Roman" w:hAnsi="Times New Roman" w:cs="Times New Roman"/>
          <w:i/>
          <w:sz w:val="24"/>
          <w:szCs w:val="26"/>
        </w:rPr>
        <w:t>Bu açıklamalar ışığında, suç konusu olduğu iddia edilen makinanın para haznesine</w:t>
      </w:r>
      <w:r w:rsidRPr="00304521">
        <w:rPr>
          <w:rFonts w:ascii="Times New Roman" w:hAnsi="Times New Roman" w:cs="Times New Roman"/>
          <w:i/>
          <w:sz w:val="24"/>
          <w:szCs w:val="26"/>
        </w:rPr>
        <w:br/>
        <w:t>atılan madeni para ile çalışan ve kişilerin yetenek özellikleri ile oynanan makina olduğu, ceza</w:t>
      </w:r>
      <w:r w:rsidRPr="00304521">
        <w:rPr>
          <w:rFonts w:ascii="Times New Roman" w:hAnsi="Times New Roman" w:cs="Times New Roman"/>
          <w:i/>
          <w:sz w:val="24"/>
          <w:szCs w:val="26"/>
        </w:rPr>
        <w:br/>
        <w:t>yasasında şans ve talihe bağlı oyunların yasaklanmış olmasına ve ceza miktarı daha az olarak</w:t>
      </w:r>
      <w:r w:rsidRPr="00304521">
        <w:rPr>
          <w:rFonts w:ascii="Times New Roman" w:hAnsi="Times New Roman" w:cs="Times New Roman"/>
          <w:i/>
          <w:sz w:val="24"/>
          <w:szCs w:val="26"/>
        </w:rPr>
        <w:br/>
        <w:t>düzenlenmesine karşın, gelişen ve sürekli değişim gösteren çağımızın hayat şartlarına göre</w:t>
      </w:r>
      <w:r w:rsidRPr="00304521">
        <w:rPr>
          <w:rFonts w:ascii="Times New Roman" w:hAnsi="Times New Roman" w:cs="Times New Roman"/>
          <w:i/>
          <w:sz w:val="24"/>
          <w:szCs w:val="26"/>
        </w:rPr>
        <w:br/>
        <w:t>zamanın gerisinde kalmış ve ihtiyaçlara cevap veremeyen somut olaya uygulanması gereken</w:t>
      </w:r>
      <w:r w:rsidRPr="00304521">
        <w:rPr>
          <w:rFonts w:ascii="Times New Roman" w:hAnsi="Times New Roman" w:cs="Times New Roman"/>
          <w:i/>
          <w:sz w:val="24"/>
          <w:szCs w:val="26"/>
        </w:rPr>
        <w:br/>
        <w:t>1072 sayılı Rulet, Tilt, Langırt ve Benzeri Oyun Aletleri ve Makinaları Hakkında Yasa’nın 1.</w:t>
      </w:r>
      <w:r w:rsidRPr="00304521">
        <w:rPr>
          <w:rFonts w:ascii="Times New Roman" w:hAnsi="Times New Roman" w:cs="Times New Roman"/>
          <w:i/>
          <w:sz w:val="24"/>
          <w:szCs w:val="26"/>
        </w:rPr>
        <w:br/>
        <w:t>maddesinin 1. fıkrasında belirtilen</w:t>
      </w:r>
      <w:r w:rsidRPr="00304521">
        <w:rPr>
          <w:rStyle w:val="Gvdemetnitalik"/>
          <w:rFonts w:eastAsiaTheme="minorHAnsi"/>
          <w:sz w:val="24"/>
          <w:szCs w:val="26"/>
        </w:rPr>
        <w:t xml:space="preserve"> “Türk Ceza Kanunu’nun 228.nci maddesinin kapsamı</w:t>
      </w:r>
      <w:r w:rsidRPr="00304521">
        <w:rPr>
          <w:rStyle w:val="Gvdemetnitalik"/>
          <w:rFonts w:eastAsiaTheme="minorHAnsi"/>
          <w:sz w:val="24"/>
          <w:szCs w:val="26"/>
        </w:rPr>
        <w:br/>
        <w:t xml:space="preserve">dışında kalsa bile umuma mahsus veya umuma açık yerlerde her ne ad altında olursa olsun </w:t>
      </w:r>
      <w:r w:rsidRPr="00304521">
        <w:rPr>
          <w:rFonts w:ascii="Times New Roman" w:hAnsi="Times New Roman" w:cs="Times New Roman"/>
          <w:i/>
          <w:sz w:val="24"/>
          <w:szCs w:val="26"/>
        </w:rPr>
        <w:t xml:space="preserve">kazanç kasdiyle oynanmasa dahi langırt vb. ...maharet isteyen, otomatik, yarı otomatik </w:t>
      </w:r>
      <w:r w:rsidRPr="00304521">
        <w:rPr>
          <w:rStyle w:val="Gvdemetnitalik"/>
          <w:rFonts w:eastAsiaTheme="minorHAnsi"/>
          <w:sz w:val="24"/>
          <w:szCs w:val="26"/>
        </w:rPr>
        <w:t>el veya ayakla kullanılan oyun, alet veya makineleri ile benzerlerini bulundurma veya</w:t>
      </w:r>
      <w:r w:rsidRPr="00304521">
        <w:rPr>
          <w:rStyle w:val="Gvdemetnitalik"/>
          <w:rFonts w:eastAsiaTheme="minorHAnsi"/>
          <w:sz w:val="24"/>
          <w:szCs w:val="26"/>
        </w:rPr>
        <w:br/>
        <w:t>çalıştırmak veya yurda sokmak yahut imal etmek yasaktır”</w:t>
      </w:r>
      <w:r w:rsidRPr="00304521">
        <w:rPr>
          <w:rFonts w:ascii="Times New Roman" w:hAnsi="Times New Roman" w:cs="Times New Roman"/>
          <w:i/>
          <w:sz w:val="24"/>
          <w:szCs w:val="26"/>
        </w:rPr>
        <w:t xml:space="preserve"> ve aynı Yasa’nın 2. maddesinde “</w:t>
      </w:r>
      <w:r w:rsidRPr="00304521">
        <w:rPr>
          <w:rStyle w:val="Gvdemetnitalik"/>
          <w:rFonts w:eastAsiaTheme="minorHAnsi"/>
          <w:sz w:val="24"/>
          <w:szCs w:val="26"/>
        </w:rPr>
        <w:t>bu kanuna aykırı hareket edenler 1 yıldan 5 yıla kadar hapis ve yüz günden bin güne kadar</w:t>
      </w:r>
      <w:r w:rsidRPr="00304521">
        <w:rPr>
          <w:rStyle w:val="Gvdemetnitalik"/>
          <w:rFonts w:eastAsiaTheme="minorHAnsi"/>
          <w:sz w:val="24"/>
          <w:szCs w:val="26"/>
        </w:rPr>
        <w:br/>
        <w:t>adli para cezası ile cezalandırılır”</w:t>
      </w:r>
      <w:r w:rsidRPr="00304521">
        <w:rPr>
          <w:rFonts w:ascii="Times New Roman" w:hAnsi="Times New Roman" w:cs="Times New Roman"/>
          <w:i/>
          <w:sz w:val="24"/>
          <w:szCs w:val="26"/>
        </w:rPr>
        <w:t xml:space="preserve"> ibarelerinin Anayasa’nın başlangıç kısmında ve ilgili</w:t>
      </w:r>
      <w:r w:rsidRPr="00304521">
        <w:rPr>
          <w:rFonts w:ascii="Times New Roman" w:hAnsi="Times New Roman" w:cs="Times New Roman"/>
          <w:i/>
          <w:sz w:val="24"/>
          <w:szCs w:val="26"/>
        </w:rPr>
        <w:br/>
        <w:t>maddelerinde belirtilen insan haklarına, hukuk devleti ilkesine, kişi hak ve hürriyetlerine, bu anlamda elverişlilik ve gereklilik ilkelerine ve Avrupa İnsan Hakları Avrupa Sözleşmesi’nin 7. maddesine göre uygar milletlerce kabul edilen evrensel hukuk ilkelerine açıkça aykırı olduğu, uluslararası hukukun kabul etmediği ve benimsemediği bir yasak olduğu, bu yasağın ve eylemin, kazanç kastı olmaksızın kişinin kendi çaba ve mahareti ile oynadığı bir oyun sebebiyle cezalandırılmasını gerektirecek adil, hakkaniyete uygun, objektif ve hukuksal bir gerekçe de bulunmamaktadır. Bu nedenle 1072 sayılı Rulet, Tilt, Langırt ve Benzeri Oyun Aletleri ve Makinaları Hakkında Yasa’nın 1. maddesinin 1. fıkrasında belirtilen “</w:t>
      </w:r>
      <w:r w:rsidRPr="00304521">
        <w:rPr>
          <w:rStyle w:val="Gvdemetnitalik"/>
          <w:rFonts w:eastAsiaTheme="minorHAnsi"/>
          <w:sz w:val="24"/>
          <w:szCs w:val="26"/>
        </w:rPr>
        <w:t xml:space="preserve">Türk Ceza Kanunu’nun 228.nci maddesinin kapsamı dışında kalsa bile umuma mahsus veya umuma açık </w:t>
      </w:r>
      <w:r w:rsidRPr="00304521">
        <w:rPr>
          <w:rFonts w:ascii="Times New Roman" w:hAnsi="Times New Roman" w:cs="Times New Roman"/>
          <w:i/>
          <w:sz w:val="24"/>
          <w:szCs w:val="26"/>
        </w:rPr>
        <w:t xml:space="preserve">yerlerde her ne ad altında olursa olsun kazanç kasdiyle oynanmasa dahi langırt vb. ... maharet isteyen, otomatik, yarı otomatik el veya ayakla kullanılan oyun, alet veya makineleri ile benzerlerini bulundurma veya çalıştırmak veya yurda sokmak yahut imal etmek yasaktır” </w:t>
      </w:r>
      <w:r w:rsidRPr="00304521">
        <w:rPr>
          <w:rStyle w:val="Gvdemetni4talikdeil"/>
          <w:rFonts w:ascii="Times New Roman" w:hAnsi="Times New Roman" w:cs="Times New Roman"/>
          <w:sz w:val="24"/>
          <w:szCs w:val="26"/>
        </w:rPr>
        <w:t>ve aynı Yasa’nın 2. maddesinde “</w:t>
      </w:r>
      <w:r w:rsidRPr="00304521">
        <w:rPr>
          <w:rFonts w:ascii="Times New Roman" w:hAnsi="Times New Roman" w:cs="Times New Roman"/>
          <w:i/>
          <w:sz w:val="24"/>
          <w:szCs w:val="26"/>
        </w:rPr>
        <w:t>bu kanuna aykırı hareket edenler 1 yıldan 5 yıla kadar hapis ve yüz günden bin güne kadar adli para cezası ile cezalandırılır”</w:t>
      </w:r>
      <w:r w:rsidRPr="00304521">
        <w:rPr>
          <w:rStyle w:val="Gvdemetni4talikdeil"/>
          <w:rFonts w:ascii="Times New Roman" w:hAnsi="Times New Roman" w:cs="Times New Roman"/>
          <w:sz w:val="24"/>
          <w:szCs w:val="26"/>
        </w:rPr>
        <w:t xml:space="preserve"> ibarelerinin Anayasa’nın 2., 10., 11. ve 13. maddelerine aykırı olması </w:t>
      </w:r>
      <w:r w:rsidRPr="00304521">
        <w:rPr>
          <w:rStyle w:val="Gvdemetni4talikdeil"/>
          <w:rFonts w:ascii="Times New Roman" w:hAnsi="Times New Roman" w:cs="Times New Roman"/>
          <w:sz w:val="24"/>
          <w:szCs w:val="26"/>
        </w:rPr>
        <w:lastRenderedPageBreak/>
        <w:t>sebebiyle Anayasa Mahkemesi’ne başvurulmasına ilişkin aşağıdaki şekilde karar vermek gerekmiştir.</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KARAR: Gerekçesi ayrıntılı şekilde açıklandığı üzere;</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Style w:val="Gvdemetni4talikdeil"/>
          <w:rFonts w:ascii="Times New Roman" w:hAnsi="Times New Roman" w:cs="Times New Roman"/>
          <w:sz w:val="24"/>
          <w:szCs w:val="26"/>
        </w:rPr>
      </w:pPr>
      <w:r w:rsidRPr="00304521">
        <w:rPr>
          <w:rFonts w:ascii="Times New Roman" w:hAnsi="Times New Roman" w:cs="Times New Roman"/>
          <w:i/>
          <w:sz w:val="24"/>
          <w:szCs w:val="26"/>
        </w:rPr>
        <w:t>1- Davada uygulanacak kural olan 1072 sayılı Rulet, Tilt, Langırt ve Benzeri Oyun Aletleri ve Makinaları Hakkında Kanunu’nun 1. maddesinin 1. fıkrasında belirtilen “</w:t>
      </w:r>
      <w:r w:rsidRPr="00304521">
        <w:rPr>
          <w:rStyle w:val="Gvdemetnitalik"/>
          <w:rFonts w:eastAsiaTheme="minorHAnsi"/>
          <w:sz w:val="24"/>
          <w:szCs w:val="26"/>
        </w:rPr>
        <w:t xml:space="preserve">Türk Ceza Kanunu’nun 228.nci maddesinin kapsamı dışında kalsa bile umuma mahsus veya </w:t>
      </w:r>
      <w:r w:rsidRPr="00304521">
        <w:rPr>
          <w:rFonts w:ascii="Times New Roman" w:hAnsi="Times New Roman" w:cs="Times New Roman"/>
          <w:i/>
          <w:sz w:val="24"/>
          <w:szCs w:val="26"/>
        </w:rPr>
        <w:t>umuma açık yerlerde her ne ad altında olursa olsun kazanç kasdiyle oynanmasa dahi langırt vb. ... maharet isteyen, otomatik, yarı otomatik el veya ayakla kullanılan oyun, alet veya makineleri ile benzerlerini bulundurma veya çalıştırmak veya yurda sokmak yahut imal etmek yasaktır”</w:t>
      </w:r>
      <w:r w:rsidRPr="00304521">
        <w:rPr>
          <w:rStyle w:val="Gvdemetni4talikdeil"/>
          <w:rFonts w:ascii="Times New Roman" w:hAnsi="Times New Roman" w:cs="Times New Roman"/>
          <w:sz w:val="24"/>
          <w:szCs w:val="26"/>
        </w:rPr>
        <w:t xml:space="preserve"> ve aynı Yasa’nın 2. maddesinde “</w:t>
      </w:r>
      <w:r w:rsidRPr="00304521">
        <w:rPr>
          <w:rFonts w:ascii="Times New Roman" w:hAnsi="Times New Roman" w:cs="Times New Roman"/>
          <w:i/>
          <w:sz w:val="24"/>
          <w:szCs w:val="26"/>
        </w:rPr>
        <w:t xml:space="preserve">bu kanuna aykırı hareket edenler 1 yıldan 5 yıla kadar hapis ve yüz günden bin güne kadar adli para cezası ile cezalandırılır” </w:t>
      </w:r>
      <w:r w:rsidRPr="00304521">
        <w:rPr>
          <w:rStyle w:val="Gvdemetni4talikdeil"/>
          <w:rFonts w:ascii="Times New Roman" w:hAnsi="Times New Roman" w:cs="Times New Roman"/>
          <w:sz w:val="24"/>
          <w:szCs w:val="26"/>
        </w:rPr>
        <w:t>ibarelerinin açıkça Anayasa’nın 2., 10., 11. ve 13. maddelerine aykırı olması sebebiyle Anayasa Mahkemesi’ne BAŞVURULMASINA,</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Style w:val="Gvdemetni4talikdeil"/>
          <w:rFonts w:ascii="Times New Roman" w:hAnsi="Times New Roman" w:cs="Times New Roman"/>
          <w:sz w:val="24"/>
          <w:szCs w:val="26"/>
        </w:rPr>
        <w:t xml:space="preserve">2- </w:t>
      </w:r>
      <w:r w:rsidRPr="00304521">
        <w:rPr>
          <w:rFonts w:ascii="Times New Roman" w:hAnsi="Times New Roman" w:cs="Times New Roman"/>
          <w:i/>
          <w:sz w:val="24"/>
          <w:szCs w:val="26"/>
        </w:rPr>
        <w:t>Anayasa’nın152/1. maddesi gereğince Anayasa Mahkemesi’nce başvuru hakkında karar verilinceye kadar davanın GERİ BIRAKILMASINA,</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3- Anayasa’nın152/3. maddesi gereğince Anayasa Mahkemesi’nce başvuru hakkında beş ay içinde bir karar verilmemesi halinde davanın yürürlükte olan kanun hükümlerine göre SONUÇLANDIRILMASINA,</w:t>
      </w:r>
    </w:p>
    <w:p w:rsidR="00304521" w:rsidRDefault="00304521" w:rsidP="0030452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304521">
        <w:rPr>
          <w:rFonts w:ascii="Times New Roman" w:hAnsi="Times New Roman" w:cs="Times New Roman"/>
          <w:i/>
          <w:sz w:val="24"/>
          <w:szCs w:val="26"/>
        </w:rPr>
        <w:t>Bu sebeplerle dosyanın 01/10/2015 günü saat 09:00’da re’sen ele alınmasına karar verildi.”</w:t>
      </w:r>
      <w:r w:rsidRPr="00304521">
        <w:rPr>
          <w:rFonts w:ascii="Times New Roman" w:hAnsi="Times New Roman" w:cs="Times New Roman"/>
          <w:i/>
          <w:sz w:val="24"/>
          <w:szCs w:val="26"/>
        </w:rPr>
        <w:t>"</w:t>
      </w:r>
    </w:p>
    <w:p w:rsidR="00CE1FB9" w:rsidRPr="00304521" w:rsidRDefault="00CE1FB9" w:rsidP="00304521">
      <w:pPr>
        <w:spacing w:before="100" w:beforeAutospacing="1" w:after="100" w:afterAutospacing="1"/>
        <w:ind w:firstLine="709"/>
        <w:jc w:val="both"/>
      </w:pPr>
    </w:p>
    <w:sectPr w:rsidR="00CE1FB9" w:rsidRPr="00304521" w:rsidSect="00304521">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123" w:rsidRDefault="00D62123" w:rsidP="00304521">
      <w:r>
        <w:separator/>
      </w:r>
    </w:p>
  </w:endnote>
  <w:endnote w:type="continuationSeparator" w:id="0">
    <w:p w:rsidR="00D62123" w:rsidRDefault="00D62123" w:rsidP="0030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2C" w:rsidRDefault="00D62123" w:rsidP="003045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282C" w:rsidRDefault="00D62123"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21" w:rsidRPr="00304521" w:rsidRDefault="00304521" w:rsidP="00C17246">
    <w:pPr>
      <w:pStyle w:val="Altbilgi"/>
      <w:framePr w:wrap="around" w:vAnchor="text" w:hAnchor="margin" w:xAlign="right" w:y="1"/>
      <w:rPr>
        <w:rStyle w:val="SayfaNumaras"/>
      </w:rPr>
    </w:pPr>
    <w:r w:rsidRPr="00304521">
      <w:rPr>
        <w:rStyle w:val="SayfaNumaras"/>
      </w:rPr>
      <w:fldChar w:fldCharType="begin"/>
    </w:r>
    <w:r w:rsidRPr="00304521">
      <w:rPr>
        <w:rStyle w:val="SayfaNumaras"/>
      </w:rPr>
      <w:instrText xml:space="preserve">PAGE  </w:instrText>
    </w:r>
    <w:r w:rsidRPr="00304521">
      <w:rPr>
        <w:rStyle w:val="SayfaNumaras"/>
      </w:rPr>
      <w:fldChar w:fldCharType="separate"/>
    </w:r>
    <w:r>
      <w:rPr>
        <w:rStyle w:val="SayfaNumaras"/>
      </w:rPr>
      <w:t>1</w:t>
    </w:r>
    <w:r w:rsidRPr="00304521">
      <w:rPr>
        <w:rStyle w:val="SayfaNumaras"/>
      </w:rPr>
      <w:fldChar w:fldCharType="end"/>
    </w:r>
  </w:p>
  <w:p w:rsidR="005679AF" w:rsidRPr="00304521" w:rsidRDefault="00D62123" w:rsidP="00304521">
    <w:pPr>
      <w:pStyle w:val="Altbilgi"/>
      <w:ind w:right="360"/>
      <w:jc w:val="center"/>
    </w:pPr>
  </w:p>
  <w:p w:rsidR="0097282C" w:rsidRPr="00304521" w:rsidRDefault="00D62123"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123" w:rsidRDefault="00D62123" w:rsidP="00304521">
      <w:r>
        <w:separator/>
      </w:r>
    </w:p>
  </w:footnote>
  <w:footnote w:type="continuationSeparator" w:id="0">
    <w:p w:rsidR="00D62123" w:rsidRDefault="00D62123" w:rsidP="00304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21" w:rsidRPr="00B472EC" w:rsidRDefault="00304521" w:rsidP="00304521">
    <w:pPr>
      <w:shd w:val="clear" w:color="auto" w:fill="FFFFFF"/>
      <w:jc w:val="both"/>
      <w:rPr>
        <w:b/>
        <w:color w:val="000000"/>
        <w:szCs w:val="26"/>
      </w:rPr>
    </w:pPr>
    <w:r w:rsidRPr="00B472EC">
      <w:rPr>
        <w:b/>
        <w:color w:val="000000"/>
        <w:szCs w:val="26"/>
      </w:rPr>
      <w:t>Esas Sayısı</w:t>
    </w:r>
    <w:r>
      <w:rPr>
        <w:b/>
        <w:color w:val="000000"/>
        <w:szCs w:val="26"/>
      </w:rPr>
      <w:t xml:space="preserve"> </w:t>
    </w:r>
    <w:r w:rsidRPr="00B472EC">
      <w:rPr>
        <w:b/>
        <w:color w:val="000000"/>
        <w:szCs w:val="26"/>
      </w:rPr>
      <w:t>:</w:t>
    </w:r>
    <w:r>
      <w:rPr>
        <w:b/>
        <w:color w:val="000000"/>
        <w:szCs w:val="26"/>
      </w:rPr>
      <w:t xml:space="preserve"> </w:t>
    </w:r>
    <w:r w:rsidRPr="00B472EC">
      <w:rPr>
        <w:b/>
        <w:color w:val="000000"/>
        <w:szCs w:val="26"/>
      </w:rPr>
      <w:t>2015/58</w:t>
    </w:r>
  </w:p>
  <w:p w:rsidR="00304521" w:rsidRPr="00B472EC" w:rsidRDefault="00304521" w:rsidP="00304521">
    <w:pPr>
      <w:shd w:val="clear" w:color="auto" w:fill="FFFFFF"/>
      <w:jc w:val="both"/>
      <w:rPr>
        <w:b/>
        <w:color w:val="000000"/>
        <w:szCs w:val="26"/>
      </w:rPr>
    </w:pPr>
    <w:r w:rsidRPr="00B472EC">
      <w:rPr>
        <w:b/>
        <w:color w:val="000000"/>
        <w:szCs w:val="26"/>
      </w:rPr>
      <w:t>Karar Sayısı</w:t>
    </w:r>
    <w:r>
      <w:rPr>
        <w:b/>
        <w:color w:val="000000"/>
        <w:szCs w:val="26"/>
      </w:rPr>
      <w:t xml:space="preserve"> </w:t>
    </w:r>
    <w:r w:rsidRPr="00B472EC">
      <w:rPr>
        <w:b/>
        <w:color w:val="000000"/>
        <w:szCs w:val="26"/>
      </w:rPr>
      <w:t>:</w:t>
    </w:r>
    <w:r>
      <w:rPr>
        <w:b/>
        <w:color w:val="000000"/>
        <w:szCs w:val="26"/>
      </w:rPr>
      <w:t xml:space="preserve"> </w:t>
    </w:r>
    <w:r w:rsidRPr="00B472EC">
      <w:rPr>
        <w:b/>
        <w:color w:val="000000"/>
        <w:szCs w:val="26"/>
      </w:rPr>
      <w:t>2015/117</w:t>
    </w:r>
  </w:p>
  <w:p w:rsidR="005679AF" w:rsidRPr="00304521" w:rsidRDefault="00D62123" w:rsidP="003045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21"/>
    <w:rsid w:val="00304521"/>
    <w:rsid w:val="00CE1FB9"/>
    <w:rsid w:val="00D62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7B228-20E8-4EBE-8116-72EBC8E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521"/>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304521"/>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304521"/>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304521"/>
  </w:style>
  <w:style w:type="paragraph" w:styleId="stbilgi">
    <w:name w:val="header"/>
    <w:basedOn w:val="Normal"/>
    <w:link w:val="stbilgiChar"/>
    <w:uiPriority w:val="99"/>
    <w:rsid w:val="00304521"/>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304521"/>
    <w:rPr>
      <w:rFonts w:ascii="Times New Roman" w:eastAsia="Times New Roman" w:hAnsi="Times New Roman" w:cs="Times New Roman"/>
      <w:sz w:val="24"/>
      <w:szCs w:val="24"/>
      <w:lang w:val="x-none" w:eastAsia="ar-SA"/>
    </w:rPr>
  </w:style>
  <w:style w:type="character" w:customStyle="1" w:styleId="Gvdemetni">
    <w:name w:val="Gövde metni_"/>
    <w:link w:val="Gvdemetni0"/>
    <w:rsid w:val="00304521"/>
    <w:rPr>
      <w:spacing w:val="-4"/>
      <w:sz w:val="23"/>
      <w:szCs w:val="23"/>
      <w:shd w:val="clear" w:color="auto" w:fill="FFFFFF"/>
    </w:rPr>
  </w:style>
  <w:style w:type="paragraph" w:customStyle="1" w:styleId="Gvdemetni0">
    <w:name w:val="Gövde metni"/>
    <w:basedOn w:val="Normal"/>
    <w:link w:val="Gvdemetni"/>
    <w:rsid w:val="00304521"/>
    <w:pPr>
      <w:shd w:val="clear" w:color="auto" w:fill="FFFFFF"/>
      <w:spacing w:after="60" w:line="233" w:lineRule="exact"/>
    </w:pPr>
    <w:rPr>
      <w:rFonts w:asciiTheme="minorHAnsi" w:eastAsiaTheme="minorHAnsi" w:hAnsiTheme="minorHAnsi" w:cstheme="minorBidi"/>
      <w:noProof w:val="0"/>
      <w:spacing w:val="-4"/>
      <w:sz w:val="23"/>
      <w:szCs w:val="23"/>
      <w:lang w:eastAsia="en-US"/>
    </w:rPr>
  </w:style>
  <w:style w:type="character" w:customStyle="1" w:styleId="Gvdemetnitalik">
    <w:name w:val="Gövde metni + İtalik"/>
    <w:rsid w:val="00304521"/>
    <w:rPr>
      <w:rFonts w:ascii="Times New Roman" w:eastAsia="Times New Roman" w:hAnsi="Times New Roman" w:cs="Times New Roman"/>
      <w:b w:val="0"/>
      <w:bCs w:val="0"/>
      <w:i/>
      <w:iCs/>
      <w:smallCaps w:val="0"/>
      <w:strike w:val="0"/>
      <w:spacing w:val="-4"/>
      <w:sz w:val="23"/>
      <w:szCs w:val="23"/>
      <w:shd w:val="clear" w:color="auto" w:fill="FFFFFF"/>
    </w:rPr>
  </w:style>
  <w:style w:type="character" w:customStyle="1" w:styleId="Gvdemetni4talikdeil">
    <w:name w:val="Gövde metni (4) + İtalik değil"/>
    <w:rsid w:val="00304521"/>
    <w:rPr>
      <w:i/>
      <w:iCs/>
      <w:spacing w:val="-2"/>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2019-02-26T08:14:00Z</dcterms:created>
  <dcterms:modified xsi:type="dcterms:W3CDTF">2019-02-26T08:15:00Z</dcterms:modified>
</cp:coreProperties>
</file>