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F3F" w:rsidRPr="00AE0F3F" w:rsidRDefault="00AE0F3F" w:rsidP="00AE0F3F">
      <w:pPr>
        <w:pStyle w:val="NormalWeb"/>
        <w:shd w:val="clear" w:color="auto" w:fill="FFFFFF"/>
        <w:ind w:firstLine="709"/>
        <w:jc w:val="both"/>
        <w:rPr>
          <w:b/>
          <w:bCs/>
          <w:color w:val="000000"/>
          <w:szCs w:val="22"/>
        </w:rPr>
      </w:pPr>
      <w:r w:rsidRPr="00AE0F3F">
        <w:rPr>
          <w:b/>
          <w:bCs/>
          <w:color w:val="000000"/>
          <w:szCs w:val="22"/>
        </w:rPr>
        <w:t>"...</w:t>
      </w:r>
    </w:p>
    <w:p w:rsidR="00AE0F3F" w:rsidRDefault="00AE0F3F" w:rsidP="00AE0F3F">
      <w:pPr>
        <w:pStyle w:val="NormalWeb"/>
        <w:shd w:val="clear" w:color="auto" w:fill="FFFFFF"/>
        <w:ind w:firstLine="709"/>
        <w:jc w:val="both"/>
        <w:rPr>
          <w:color w:val="000000"/>
          <w:szCs w:val="27"/>
        </w:rPr>
      </w:pPr>
      <w:r w:rsidRPr="00AE0F3F">
        <w:rPr>
          <w:b/>
          <w:bCs/>
          <w:color w:val="000000"/>
          <w:szCs w:val="22"/>
        </w:rPr>
        <w:t>II- İTİRAZIN GEREKÇESİ</w:t>
      </w:r>
    </w:p>
    <w:p w:rsidR="00AE0F3F" w:rsidRPr="00AE0F3F" w:rsidRDefault="00AE0F3F" w:rsidP="00AE0F3F">
      <w:pPr>
        <w:pStyle w:val="NormalWeb"/>
        <w:shd w:val="clear" w:color="auto" w:fill="FFFFFF"/>
        <w:ind w:firstLine="709"/>
        <w:jc w:val="both"/>
        <w:rPr>
          <w:color w:val="000000"/>
          <w:szCs w:val="27"/>
        </w:rPr>
      </w:pPr>
      <w:r w:rsidRPr="00AE0F3F">
        <w:rPr>
          <w:color w:val="000000"/>
          <w:szCs w:val="19"/>
        </w:rPr>
        <w:t>Başvuru kararının gerekçe bölümü şöyledir:</w:t>
      </w:r>
      <w:r w:rsidRPr="00AE0F3F">
        <w:rPr>
          <w:i/>
          <w:iCs/>
          <w:color w:val="000000"/>
          <w:szCs w:val="19"/>
        </w:rPr>
        <w:t>    </w:t>
      </w:r>
    </w:p>
    <w:p w:rsidR="00AE0F3F" w:rsidRPr="00AE0F3F" w:rsidRDefault="00AE0F3F" w:rsidP="00AE0F3F">
      <w:pPr>
        <w:pStyle w:val="NormalWeb"/>
        <w:shd w:val="clear" w:color="auto" w:fill="FFFFFF"/>
        <w:ind w:firstLine="709"/>
        <w:jc w:val="both"/>
        <w:rPr>
          <w:color w:val="000000"/>
          <w:szCs w:val="27"/>
        </w:rPr>
      </w:pPr>
      <w:r w:rsidRPr="00AE0F3F">
        <w:rPr>
          <w:i/>
          <w:iCs/>
          <w:color w:val="000000"/>
          <w:szCs w:val="19"/>
        </w:rPr>
        <w:t>" (.)    </w:t>
      </w:r>
    </w:p>
    <w:p w:rsidR="00AE0F3F" w:rsidRDefault="00AE0F3F" w:rsidP="00AE0F3F">
      <w:pPr>
        <w:pStyle w:val="gvdemetni0"/>
        <w:shd w:val="clear" w:color="auto" w:fill="FFFFFF"/>
        <w:ind w:firstLine="709"/>
        <w:jc w:val="both"/>
        <w:rPr>
          <w:color w:val="000000"/>
          <w:szCs w:val="18"/>
        </w:rPr>
      </w:pPr>
      <w:bookmarkStart w:id="0" w:name="_GoBack"/>
      <w:bookmarkEnd w:id="0"/>
      <w:r w:rsidRPr="00AE0F3F">
        <w:rPr>
          <w:i/>
          <w:iCs/>
          <w:color w:val="000000"/>
          <w:szCs w:val="19"/>
        </w:rPr>
        <w:t>Anayasa Mahkemesi kararlarında da belirtildiği gibi, 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w:t>
      </w:r>
    </w:p>
    <w:p w:rsidR="00AE0F3F" w:rsidRDefault="00AE0F3F" w:rsidP="00AE0F3F">
      <w:pPr>
        <w:pStyle w:val="gvdemetni0"/>
        <w:shd w:val="clear" w:color="auto" w:fill="FFFFFF"/>
        <w:ind w:firstLine="709"/>
        <w:jc w:val="both"/>
        <w:rPr>
          <w:color w:val="000000"/>
          <w:szCs w:val="18"/>
        </w:rPr>
      </w:pPr>
      <w:r w:rsidRPr="00AE0F3F">
        <w:rPr>
          <w:i/>
          <w:iCs/>
          <w:color w:val="000000"/>
          <w:szCs w:val="19"/>
        </w:rPr>
        <w:t>Hukuk devleti ilkesinin önkoşullarından biri olan hukuk güvenliği ile kişilerin hukuki güvenliğinin sağlanması amaçlanmaktadır. Hukuk güvenliği ilkesi, hukuk normlarının öngörülebilir olmasını bireylerin tüm eylem ve işlemlerinde devlete güven duyabilmesini, devletin de yasal düzenlemelerinde bu güven duygusunu zedeleyici yöntemlerden kaçınmasını gerekli kılar.</w:t>
      </w:r>
    </w:p>
    <w:p w:rsidR="00AE0F3F" w:rsidRDefault="00AE0F3F" w:rsidP="00AE0F3F">
      <w:pPr>
        <w:pStyle w:val="gvdemetni0"/>
        <w:shd w:val="clear" w:color="auto" w:fill="FFFFFF"/>
        <w:ind w:firstLine="709"/>
        <w:jc w:val="both"/>
        <w:rPr>
          <w:color w:val="000000"/>
          <w:szCs w:val="18"/>
        </w:rPr>
      </w:pPr>
      <w:r w:rsidRPr="00AE0F3F">
        <w:rPr>
          <w:i/>
          <w:iCs/>
          <w:color w:val="000000"/>
          <w:szCs w:val="19"/>
        </w:rPr>
        <w:t>Anayasa'nın 2. maddesinde, Türkiye Cumhuriyeti'nin "Başlangıç"ta belirtilen temel ilkelere dayanan bir Devlet olduğu vurgulanmış, 176. maddesi ile Anayasa metni içinde olduğu açıklanan "Başlangıç" bölümünde ise, güçler ayrılığı ilkesine yer verilmiştir. Bu ilke gereği yasama, yürütme ve yargı, bu yetkileri kullanacak organlar olarak belirlenmiş; Anayasa'nın 7. maddesinde; Yasama yetkisinin Türkiye Büyük Millet Meclisi'nce kullanılacağı ve devredilemeyeceği kurala bağlanmıştır.</w:t>
      </w:r>
    </w:p>
    <w:p w:rsidR="00AE0F3F" w:rsidRDefault="00AE0F3F" w:rsidP="00AE0F3F">
      <w:pPr>
        <w:pStyle w:val="gvdemetni0"/>
        <w:shd w:val="clear" w:color="auto" w:fill="FFFFFF"/>
        <w:ind w:firstLine="709"/>
        <w:jc w:val="both"/>
        <w:rPr>
          <w:color w:val="000000"/>
          <w:szCs w:val="18"/>
        </w:rPr>
      </w:pPr>
      <w:r w:rsidRPr="00AE0F3F">
        <w:rPr>
          <w:i/>
          <w:iCs/>
          <w:color w:val="000000"/>
          <w:szCs w:val="19"/>
        </w:rPr>
        <w:t>Bu kural karşısında,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verilemeyeceği açıktır.</w:t>
      </w:r>
    </w:p>
    <w:p w:rsidR="00AE0F3F" w:rsidRDefault="00AE0F3F" w:rsidP="00AE0F3F">
      <w:pPr>
        <w:pStyle w:val="gvdemetni0"/>
        <w:shd w:val="clear" w:color="auto" w:fill="FFFFFF"/>
        <w:ind w:firstLine="709"/>
        <w:jc w:val="both"/>
        <w:rPr>
          <w:color w:val="000000"/>
          <w:szCs w:val="18"/>
        </w:rPr>
      </w:pPr>
      <w:r w:rsidRPr="00AE0F3F">
        <w:rPr>
          <w:i/>
          <w:iCs/>
          <w:color w:val="000000"/>
          <w:szCs w:val="19"/>
        </w:rPr>
        <w:t>Yürütme organına düzenleme yetkisi veren bir yasa kuralının, Anayasa'nın 7. maddesine uygun olabilmesi için, temel ilkeleri koyması, çerçeveyi çizmesi, sınırsız, belirsiz, geniş bir alanı yönetimin düzenlemesine bırakmaması gerekmektedir. Temel kuralları koymadan, ölçüsünü belirlemeden ve sınırları çizmeden, yürütmeye düzenleme yetkisi veren bir kuralın, Anayasa'nın 7. maddesine aykırı düşeceğinde kuşku bulunmamaktadır.</w:t>
      </w:r>
    </w:p>
    <w:p w:rsidR="00AE0F3F" w:rsidRDefault="00AE0F3F" w:rsidP="00AE0F3F">
      <w:pPr>
        <w:pStyle w:val="gvdemetni0"/>
        <w:shd w:val="clear" w:color="auto" w:fill="FFFFFF"/>
        <w:ind w:firstLine="709"/>
        <w:jc w:val="both"/>
        <w:rPr>
          <w:color w:val="000000"/>
          <w:szCs w:val="18"/>
        </w:rPr>
      </w:pPr>
      <w:r w:rsidRPr="00AE0F3F">
        <w:rPr>
          <w:i/>
          <w:iCs/>
          <w:color w:val="000000"/>
          <w:szCs w:val="19"/>
        </w:rPr>
        <w:t>Yasa ile yetkilendirme Anayasanın öngördüğü biçimde yasa ile düzenleme anlamına gelmeyeceği gibi, yasa koyucu, gerektiğinde sınırlarını belirlemek koşuluyla bazı konuların düzenlenmesini idareye bırakabilir. Anayasanın 2. maddesindeki hukuk devleti ilkesi de 7. maddenin bu şekilde değerlendirilmesini ve uygulamaya geçilmesini gerektirir.</w:t>
      </w:r>
    </w:p>
    <w:p w:rsidR="00AE0F3F" w:rsidRDefault="00AE0F3F" w:rsidP="00AE0F3F">
      <w:pPr>
        <w:pStyle w:val="gvdemetni0"/>
        <w:shd w:val="clear" w:color="auto" w:fill="FFFFFF"/>
        <w:ind w:firstLine="709"/>
        <w:jc w:val="both"/>
        <w:rPr>
          <w:color w:val="000000"/>
          <w:szCs w:val="18"/>
        </w:rPr>
      </w:pPr>
      <w:r w:rsidRPr="00AE0F3F">
        <w:rPr>
          <w:i/>
          <w:iCs/>
          <w:color w:val="000000"/>
          <w:szCs w:val="19"/>
        </w:rPr>
        <w:t xml:space="preserve">5809 sayılı Yasa'nın 51. maddesinde yer alan düzenlemeye bakıldığında ise kişisel verilerin işlenmesi ve gizliliğinin korunmasına yönelik usul ve esasları belirleme, bu konuda düzenleme yapma yetkisi bütünüyle yürütme organına bırakılmıştır. Yasama organı tarafından, temel ilkeleri koyulmadan, çerçevesi çizilmeden, sınırsız, belirsiz, geniş bir alanı düzenleme yetkisinin yürütme organına bırakılması, Anayasanın 13. ve 20. maddesine aykırı olduğu gibi, </w:t>
      </w:r>
      <w:r w:rsidRPr="00AE0F3F">
        <w:rPr>
          <w:i/>
          <w:iCs/>
          <w:color w:val="000000"/>
          <w:szCs w:val="19"/>
        </w:rPr>
        <w:lastRenderedPageBreak/>
        <w:t>yasama yetkisinin devredilemeyeceğine ilişkin Anayasanın 7. maddesine ve sonuçta Anayasanın 2. maddesindeki hukuk devleti ilkesine aykırı bulunmaktadır.</w:t>
      </w:r>
    </w:p>
    <w:p w:rsidR="00AE0F3F" w:rsidRDefault="00AE0F3F" w:rsidP="00AE0F3F">
      <w:pPr>
        <w:pStyle w:val="gvdemetni0"/>
        <w:shd w:val="clear" w:color="auto" w:fill="FFFFFF"/>
        <w:ind w:firstLine="709"/>
        <w:jc w:val="both"/>
        <w:rPr>
          <w:color w:val="000000"/>
          <w:szCs w:val="18"/>
        </w:rPr>
      </w:pPr>
      <w:r w:rsidRPr="00AE0F3F">
        <w:rPr>
          <w:i/>
          <w:iCs/>
          <w:color w:val="000000"/>
          <w:szCs w:val="19"/>
        </w:rPr>
        <w:t>Sonuç olarak 51. maddesinin düzenleme yetkisinin bütünüyle yürütme organına bırakılmış olması nedeniyle Anayasanın 2., 7., 13. ve 20. maddelerine aykırı olduğu sonucuna varılmıştır.</w:t>
      </w:r>
    </w:p>
    <w:p w:rsidR="00AE0F3F" w:rsidRDefault="00AE0F3F" w:rsidP="00AE0F3F">
      <w:pPr>
        <w:pStyle w:val="gvdemetni0"/>
        <w:shd w:val="clear" w:color="auto" w:fill="FFFFFF"/>
        <w:ind w:firstLine="709"/>
        <w:jc w:val="both"/>
        <w:rPr>
          <w:color w:val="000000"/>
          <w:szCs w:val="18"/>
        </w:rPr>
      </w:pPr>
      <w:r w:rsidRPr="00AE0F3F">
        <w:rPr>
          <w:i/>
          <w:iCs/>
          <w:color w:val="000000"/>
          <w:szCs w:val="19"/>
        </w:rPr>
        <w:t>Öte yandan, Danıştay İdari Dava Daireleri Kurulu, 2575 sayılı Danıştay Kanununun 17/3. maddesi uyarınca, Danıştay İdari Dava Dairelerinin ilk derece mahkemesi olarak baktıkları davalarda yürütmenin durdurulması istemleri hakkında verdikleri kararları itiraz yoluyla inceleme ile görevli olup bu aşamada Danıştay İdari Dava Daireleri Kurulunun davada uygulanacak bir yasanın Anayasa'ya aykırı olduğu kanısına vararak itiraz yoluyla Anayasa Mahkemesine başvurmasına engel yasal bir düzenleme bulunmamaktadır.</w:t>
      </w:r>
    </w:p>
    <w:p w:rsidR="00AE0F3F" w:rsidRDefault="00AE0F3F" w:rsidP="00AE0F3F">
      <w:pPr>
        <w:pStyle w:val="gvdemetni0"/>
        <w:shd w:val="clear" w:color="auto" w:fill="FFFFFF"/>
        <w:ind w:firstLine="709"/>
        <w:jc w:val="both"/>
        <w:rPr>
          <w:color w:val="000000"/>
          <w:szCs w:val="18"/>
        </w:rPr>
      </w:pPr>
      <w:r w:rsidRPr="00AE0F3F">
        <w:rPr>
          <w:i/>
          <w:iCs/>
          <w:color w:val="000000"/>
          <w:szCs w:val="19"/>
        </w:rPr>
        <w:t>Nitekim Danıştay İdari Dava Daireleri Kurulunca YD. İtiraz No:2009/1036 sayılı başka bir davada 657 sayılı Devlet Memurları Kanunu'nun 4/C maddesi ile 5429 sayılı Türkiye İstatistik Kurumu Kanunu'nun 49. maddesinin ikinci fıkrasının Anayasaya aykırı olduğu kanısına ulaşılması nedeniyle itiraz yoluyla Anayasa Mahkemesine başvurulmuş; Anayasa Mahkemesince de 30/03/2011 günlü, E:2010/46, K:2011/60 sayılı karar ile itirazın esası hakkında hüküm verilmiştir.</w:t>
      </w:r>
    </w:p>
    <w:p w:rsidR="00AE0F3F" w:rsidRPr="00AE0F3F" w:rsidRDefault="00AE0F3F" w:rsidP="00AE0F3F">
      <w:pPr>
        <w:pStyle w:val="gvdemetni0"/>
        <w:shd w:val="clear" w:color="auto" w:fill="FFFFFF"/>
        <w:ind w:firstLine="709"/>
        <w:jc w:val="both"/>
        <w:rPr>
          <w:color w:val="000000"/>
          <w:szCs w:val="18"/>
        </w:rPr>
      </w:pPr>
      <w:r w:rsidRPr="00AE0F3F">
        <w:rPr>
          <w:i/>
          <w:iCs/>
          <w:color w:val="000000"/>
          <w:szCs w:val="19"/>
        </w:rPr>
        <w:t>Açıklanan nedenlerle, bir davaya bakmakta olan mahkemenin, o davada uygulanacak bir yasanın Anayasa'ya aykırı olduğu kanısına götüren görüşünü açıklayan kararı ile Anayasa Mahkemesine başvurulması gerektiğini düzenleyen 6216 sayılı Anayasa Mahkemesinin Kuruluşu ve Yargılama Usulleri Hakkında Kanun'un 40. maddesinin birinci fıkrası gereğince, 5809 sayılı Yasa'nın 51. maddesinin Anayasa'nın 2., 7., 13. ve 20. maddelerine aykırı olduğu kanısına ulaşılması nedeniyle Anayasa Mahkemesine başvurulmasına, bu kuralın Anayasa'ya aykırılığı ve uygulanması durumunda giderilmesi güç ve olanaksız zararlar doğabileceği gözetilerek esas hakkında bir karar verilinceye kadar yürürlüğünün durdurulmasının istenilmesine, dosyada bulunan belgelerin onaylı bir örneğinin Anayasa Mahkemesi Başkanlığına gönderilmesine, 26/09/2013 gününde Üye İbrahim ALİUSTA ve Yalçın EKMEKÇİ'nin karşı oyu ve oyçokluğu ile karar verildi."   </w:t>
      </w:r>
      <w:r w:rsidRPr="00AE0F3F">
        <w:rPr>
          <w:i/>
          <w:iCs/>
          <w:color w:val="000000"/>
          <w:szCs w:val="19"/>
        </w:rPr>
        <w:t>"</w:t>
      </w:r>
    </w:p>
    <w:p w:rsidR="00CE1FB9" w:rsidRPr="00AE0F3F" w:rsidRDefault="00CE1FB9" w:rsidP="00AE0F3F">
      <w:pPr>
        <w:spacing w:before="100" w:beforeAutospacing="1" w:after="100" w:afterAutospacing="1" w:line="240" w:lineRule="auto"/>
        <w:ind w:firstLine="709"/>
        <w:jc w:val="both"/>
        <w:rPr>
          <w:rFonts w:ascii="Times New Roman" w:hAnsi="Times New Roman" w:cs="Times New Roman"/>
          <w:sz w:val="24"/>
        </w:rPr>
      </w:pPr>
    </w:p>
    <w:sectPr w:rsidR="00CE1FB9" w:rsidRPr="00AE0F3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2D1" w:rsidRDefault="00F262D1" w:rsidP="00AE0F3F">
      <w:pPr>
        <w:spacing w:after="0" w:line="240" w:lineRule="auto"/>
      </w:pPr>
      <w:r>
        <w:separator/>
      </w:r>
    </w:p>
  </w:endnote>
  <w:endnote w:type="continuationSeparator" w:id="0">
    <w:p w:rsidR="00F262D1" w:rsidRDefault="00F262D1" w:rsidP="00AE0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F3F" w:rsidRDefault="00AE0F3F" w:rsidP="00090D1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E0F3F" w:rsidRDefault="00AE0F3F" w:rsidP="00AE0F3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F3F" w:rsidRPr="00AE0F3F" w:rsidRDefault="00AE0F3F" w:rsidP="00090D1D">
    <w:pPr>
      <w:pStyle w:val="Altbilgi"/>
      <w:framePr w:wrap="around" w:vAnchor="text" w:hAnchor="margin" w:xAlign="right" w:y="1"/>
      <w:rPr>
        <w:rStyle w:val="SayfaNumaras"/>
        <w:rFonts w:ascii="Times New Roman" w:hAnsi="Times New Roman" w:cs="Times New Roman"/>
      </w:rPr>
    </w:pPr>
    <w:r w:rsidRPr="00AE0F3F">
      <w:rPr>
        <w:rStyle w:val="SayfaNumaras"/>
        <w:rFonts w:ascii="Times New Roman" w:hAnsi="Times New Roman" w:cs="Times New Roman"/>
      </w:rPr>
      <w:fldChar w:fldCharType="begin"/>
    </w:r>
    <w:r w:rsidRPr="00AE0F3F">
      <w:rPr>
        <w:rStyle w:val="SayfaNumaras"/>
        <w:rFonts w:ascii="Times New Roman" w:hAnsi="Times New Roman" w:cs="Times New Roman"/>
      </w:rPr>
      <w:instrText xml:space="preserve">PAGE  </w:instrText>
    </w:r>
    <w:r w:rsidRPr="00AE0F3F">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AE0F3F">
      <w:rPr>
        <w:rStyle w:val="SayfaNumaras"/>
        <w:rFonts w:ascii="Times New Roman" w:hAnsi="Times New Roman" w:cs="Times New Roman"/>
      </w:rPr>
      <w:fldChar w:fldCharType="end"/>
    </w:r>
  </w:p>
  <w:p w:rsidR="00AE0F3F" w:rsidRPr="00AE0F3F" w:rsidRDefault="00AE0F3F" w:rsidP="00AE0F3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2D1" w:rsidRDefault="00F262D1" w:rsidP="00AE0F3F">
      <w:pPr>
        <w:spacing w:after="0" w:line="240" w:lineRule="auto"/>
      </w:pPr>
      <w:r>
        <w:separator/>
      </w:r>
    </w:p>
  </w:footnote>
  <w:footnote w:type="continuationSeparator" w:id="0">
    <w:p w:rsidR="00F262D1" w:rsidRDefault="00F262D1" w:rsidP="00AE0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F3F" w:rsidRPr="00A818F7" w:rsidRDefault="00AE0F3F" w:rsidP="00AE0F3F">
    <w:pPr>
      <w:shd w:val="clear" w:color="auto" w:fill="FFFFFF"/>
      <w:spacing w:after="0" w:line="240" w:lineRule="auto"/>
      <w:jc w:val="both"/>
      <w:rPr>
        <w:rFonts w:ascii="Times New Roman" w:eastAsia="Times New Roman" w:hAnsi="Times New Roman" w:cs="Times New Roman"/>
        <w:b/>
        <w:bCs/>
        <w:color w:val="000000"/>
        <w:sz w:val="24"/>
        <w:lang w:eastAsia="tr-TR"/>
      </w:rPr>
    </w:pPr>
    <w:r w:rsidRPr="00A818F7">
      <w:rPr>
        <w:rFonts w:ascii="Times New Roman" w:eastAsia="Times New Roman" w:hAnsi="Times New Roman" w:cs="Times New Roman"/>
        <w:b/>
        <w:bCs/>
        <w:color w:val="000000"/>
        <w:sz w:val="24"/>
        <w:lang w:eastAsia="tr-TR"/>
      </w:rPr>
      <w:t>Esas Sayısı : 2013/122</w:t>
    </w:r>
  </w:p>
  <w:p w:rsidR="00AE0F3F" w:rsidRPr="00A818F7" w:rsidRDefault="00AE0F3F" w:rsidP="00AE0F3F">
    <w:pPr>
      <w:shd w:val="clear" w:color="auto" w:fill="FFFFFF"/>
      <w:spacing w:after="0" w:line="240" w:lineRule="auto"/>
      <w:jc w:val="both"/>
      <w:rPr>
        <w:rFonts w:ascii="Times New Roman" w:eastAsia="Times New Roman" w:hAnsi="Times New Roman" w:cs="Times New Roman"/>
        <w:b/>
        <w:bCs/>
        <w:color w:val="000000"/>
        <w:sz w:val="24"/>
        <w:lang w:eastAsia="tr-TR"/>
      </w:rPr>
    </w:pPr>
    <w:r w:rsidRPr="00A818F7">
      <w:rPr>
        <w:rFonts w:ascii="Times New Roman" w:eastAsia="Times New Roman" w:hAnsi="Times New Roman" w:cs="Times New Roman"/>
        <w:b/>
        <w:bCs/>
        <w:color w:val="000000"/>
        <w:sz w:val="24"/>
        <w:lang w:eastAsia="tr-TR"/>
      </w:rPr>
      <w:t>Karar Sayısı : 2014/74</w:t>
    </w:r>
  </w:p>
  <w:p w:rsidR="00AE0F3F" w:rsidRPr="00AE0F3F" w:rsidRDefault="00AE0F3F" w:rsidP="00AE0F3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3F"/>
    <w:rsid w:val="00AE0F3F"/>
    <w:rsid w:val="00CE1FB9"/>
    <w:rsid w:val="00F26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C4E29-7C14-4695-846C-CC93B42E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E0F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AE0F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E0F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0F3F"/>
  </w:style>
  <w:style w:type="paragraph" w:styleId="Altbilgi">
    <w:name w:val="footer"/>
    <w:basedOn w:val="Normal"/>
    <w:link w:val="AltbilgiChar"/>
    <w:uiPriority w:val="99"/>
    <w:unhideWhenUsed/>
    <w:rsid w:val="00AE0F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0F3F"/>
  </w:style>
  <w:style w:type="character" w:styleId="SayfaNumaras">
    <w:name w:val="page number"/>
    <w:basedOn w:val="VarsaylanParagrafYazTipi"/>
    <w:uiPriority w:val="99"/>
    <w:semiHidden/>
    <w:unhideWhenUsed/>
    <w:rsid w:val="00AE0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82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791</Words>
  <Characters>4510</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2019-02-22T05:55:00Z</dcterms:created>
  <dcterms:modified xsi:type="dcterms:W3CDTF">2019-02-22T05:56:00Z</dcterms:modified>
</cp:coreProperties>
</file>