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32" w:rsidRP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02832">
        <w:rPr>
          <w:rFonts w:ascii="Times New Roman" w:eastAsia="Times New Roman" w:hAnsi="Times New Roman" w:cs="Times New Roman"/>
          <w:b/>
          <w:bCs/>
          <w:color w:val="000000"/>
          <w:sz w:val="24"/>
          <w:lang w:eastAsia="tr-TR"/>
        </w:rPr>
        <w:t>"...</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b/>
          <w:bCs/>
          <w:color w:val="000000"/>
          <w:sz w:val="24"/>
          <w:lang w:eastAsia="tr-TR"/>
        </w:rPr>
        <w:t>II- İTİRAZIN GEREKÇESİ</w:t>
      </w:r>
    </w:p>
    <w:p w:rsidR="00E02832" w:rsidRP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color w:val="000000"/>
          <w:sz w:val="24"/>
          <w:szCs w:val="19"/>
          <w:lang w:eastAsia="tr-TR"/>
        </w:rPr>
        <w:t>İtiraz başvurusunun gerekçe bölümü şöyledir:     </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color w:val="000000"/>
          <w:sz w:val="24"/>
          <w:szCs w:val="19"/>
          <w:lang w:eastAsia="tr-TR"/>
        </w:rPr>
        <w:t>"</w:t>
      </w:r>
      <w:r w:rsidRPr="00E02832">
        <w:rPr>
          <w:rFonts w:ascii="Times New Roman" w:eastAsia="Times New Roman" w:hAnsi="Times New Roman" w:cs="Times New Roman"/>
          <w:i/>
          <w:iCs/>
          <w:color w:val="000000"/>
          <w:sz w:val="24"/>
          <w:szCs w:val="19"/>
          <w:lang w:eastAsia="tr-TR"/>
        </w:rPr>
        <w:t>Davacı . vekili Av.. tarafından; davacının sürücü belgesinin 2 yıl süreyle geri alınmasına ilişkin 16.04.2014 tarih ve 003996sayılı işlemin iptali istemiyle TOKAT VALİLİĞİ'ne karşı açılan davada dava dosyası incelenerek işin gereği görüşüldü:</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T.C.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 152. maddesinde ise,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hükmü yer almaktadır.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 xml:space="preserve">2918 sayılı Karayolları Trafik Kanunu'nun 148. maddesinde "Uyuşturucu veya uyarıcı maddeleri almış olan sürücüler ile alkollü olan sürücülerin karayolunda araç sürmeleri yasaktır. Uyuşturucu veya uyarıcı maddelerin kullanılıp kullanılmadığı ya da alkolün kandaki miktarını tespit amacıyla, kollukça teknik cihazlar kullanılır. 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ve 5271 sayılı Ceza Muhakemesi Kanununun 75 inci maddesi hükümleri, beşinci fıkrası hariç olmak üzere uygulanır. Trafik kazası sonucunda kişinin ölmesi veya teknik cihaza üfleyemeyecek kadar yaralanmış olması hâlinde, üçüncü fıkra hükümlerine göre bu kişilerden kan, tükürük veya idrar gibi örnekler alınır. 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hâlinde belirtilen süreler, geçici alma süresinin bitiminde başlar. Yapılan tespit sonucunda, 1.00 promilin üzerinde alkollü olduğu tespit edilen sürücüler hakkında ayrıca Türk Ceza Kanununun 179 uncu maddesinin üçüncü fıkrası hükümleri uygulanır. Hususi otomobil sürücüleri bakımından 0.50 promilin, diğer araç  sürücüleri bakımından 0.20 promilin üzerinde alkollü olan sürücülerin trafik kazasına sebebiyet vermesi hâlinde, ayrıca Türk Ceza Kanununun ilgili hükümleri uygulanır. Uyuşturucu veya uyarıcı madde aldığı tespit edilen </w:t>
      </w:r>
      <w:r w:rsidRPr="00E02832">
        <w:rPr>
          <w:rFonts w:ascii="Times New Roman" w:eastAsia="Times New Roman" w:hAnsi="Times New Roman" w:cs="Times New Roman"/>
          <w:i/>
          <w:iCs/>
          <w:color w:val="000000"/>
          <w:sz w:val="24"/>
          <w:szCs w:val="19"/>
          <w:lang w:eastAsia="tr-TR"/>
        </w:rPr>
        <w:lastRenderedPageBreak/>
        <w:t>sürücülere 3.600 Türk Lirası idari para cezası verilir ve sürücü belgesi beş yıl süreyle geri alınır. Bu kişiler hakkında ayrıca Türk Ceza Kanunu hükümleri uygulanır.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Sürücünün uyuşturucu veya uyarıcı madde kullandığından şüphe edilmesi hâlinde 5271 sayılı Kanunun adli kolluğa ilişkin hükümleri uygulanır. 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psiko-teknik değerlendirmeye ve psikiyatri uzmanının muayenesine tabi tutulurlar.  Sürücü belgelerinin geçici geri alma işlemleri bu Kanunun 6 ncı maddesinde sayılan görevliler tarafından yapılır. 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 Alkol, uyuşturucu veya uyarıcı maddelerin tespiti için kullanılacak teknik cihazların sahip olacağı asgari koşullar ile diğer usul ve esaslar yönetmelikte gösterilir." hükmüne yer verilmiştir.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Dava dosyasının incelenmesinden, 16.04.2014 günü saat 18:45 sıralarında Tokat Merkez Orhangazi Caddesi Demirköprü kavşağında asayiş ekibi tarafından tehlikeli araç kullandığından bahisle durdurulan 60 HG 169 plakalı otomobil sürücüsü olan davacının alkollü olduğu şüphesiyle olay yerine çağrılan trafik ekibine teslim edildiği, trafik ekibinin davacıya alkol kontrolü yapmak istediği, ancak davacının alkolmetre cihazı ile kontrol yapılmasını reddettiği, bunun üzerine 2918 sayılı Karayolları Trafik Kanunu'nun 48/9 maddesini ihlalden davacı hakkında sürücü belgesinin 2 yıl süreyle geçici olarak geri alınmasına ilişkin işlemin tesis edilmesi üzerine bakılan davanın açıldığı anlaşılmıştır.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 takdir yetkisine sahiptir.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w:t>
      </w:r>
      <w:r w:rsidRPr="00E02832">
        <w:rPr>
          <w:rFonts w:ascii="Times New Roman" w:eastAsia="Times New Roman" w:hAnsi="Times New Roman" w:cs="Times New Roman"/>
          <w:i/>
          <w:iCs/>
          <w:color w:val="000000"/>
          <w:sz w:val="24"/>
          <w:szCs w:val="19"/>
          <w:lang w:eastAsia="tr-TR"/>
        </w:rPr>
        <w:lastRenderedPageBreak/>
        <w:t>ve "orantılılık" ise başvurulan önlem ve ulaşılmak istenen amaç arasında olması gereken ölçüyü ifade etmektedir. Bir kurala uyulmaması nedeniyle kanun koyucu tarafından öngörülen yaptırım ile ulaşılmak istenen amaç arasında "ölçülülük ilkesi" gereğince makul bir dengenin bulunması zorunludur.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Uyuşmazlık konusu olaya uygulanan ve yukarıda metnine yer verilen yasal düzenlemelerin birlikte değerlendirilmesinden2918 sayılı Karayolları Trafik Kanununun 48. maddesinin 9. fıkrası ile alkolün kandaki miktarını tespit amacıyla, kollukça teknik cihazlar kullanılmasını kabul etmeyen sürücülerin iki yıl sureyle sürücü belgesinin geri alınacağının düzenlendiği, ancak, ilgili kişi teknik cihazın kullanılmasını kabul etmesi halinde ise, ilk defa alkollü olarak araç kullandığı tespit edilen sürücünün sürücü belgesinin altı ay süreyle geri alınacağının düzenlendiği, bu haliyle, kandaki miktarını tespit amacıyla, kollukça teknik cihazlar kullanılmasını kabul etmeyen sürücüye alkollü olarak araç kullandığı tespit edilen sürücüden daha fazla ceza verildiği dikkate alındığında, öngörülen yaptırım ile ulaşılmak istenen amaç arasındaki olması gereken makul dengenin aşıldığı açıktır. Dolayısıyla, somut olayda, kollukça teknik cihazlar kullanılmasını kabul etmeyen davacının 2 yıl süreyle ehliyetine el konulmasının Anayasa'nın 2. maddesinde belirtilen hukuk devleti ilkesinin ihlali niteliğindedir.</w:t>
      </w:r>
    </w:p>
    <w:p w:rsid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Bu durumda, kandaki alkol miktarını tespit amacıyla, kollukça teknik cihazlar kullanılmasını kabul etmeyen sürücüye alkollü olarak araç kullandığı tespit edilen sürücüden daha fazla ceza verilmesinin hukuk devleti ilkesinin bir gereği olan ölçülülük ilkesinin ihlali anlamına geldiği, dolayısıyla Anayasa'nın 2. m</w:t>
      </w:r>
      <w:bookmarkStart w:id="0" w:name="_GoBack"/>
      <w:bookmarkEnd w:id="0"/>
      <w:r w:rsidRPr="00E02832">
        <w:rPr>
          <w:rFonts w:ascii="Times New Roman" w:eastAsia="Times New Roman" w:hAnsi="Times New Roman" w:cs="Times New Roman"/>
          <w:i/>
          <w:iCs/>
          <w:color w:val="000000"/>
          <w:sz w:val="24"/>
          <w:szCs w:val="19"/>
          <w:lang w:eastAsia="tr-TR"/>
        </w:rPr>
        <w:t>addesinde belirtilen hukuk devleti ilkesinin ihlali sonucunu doğuran 2918 sayılı Karayolları Trafik Kanununun 48. maddesinin 9. fıkrasında yer alan "Sürücü belgesi iki yıl süreyle geri alınır." ibaresinin Anayasa'nın 2. maddesine aykırı olduğu düşüncesiyle iptal edilmesi gerektiği sonucuna ulaşılmıştır.</w:t>
      </w:r>
    </w:p>
    <w:p w:rsidR="00E02832" w:rsidRP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Sonuç olarak, 2918 sayılı Karayolları Trafik Kanununun 48. maddesinin 9. fıkrasında yer alan "Sürücü belgesi iki yıl süreyle geri alınır."  ibaresinin Anayasa'nın 2. maddesine aykırılık taşıdığı kanısına varıldığından, anılan hükmün iptali istemiyle Anayasa Mahkemesi'ne başvurulmasına, 6216 sayılı Anayasa Mahkemesinin Kuruluşu ve Yargılama Usulleri Hakkında Kanun'un 40. maddesi gereği bu karara ilişkin tutanağın onaylı örneği ile dava dilekçesi ve dosya içeriği diğer belgelerin onaylı örneklerinin dizi listesine bağlanarak başvurunun Anayasa Mahkemesi kaydına alındığı tarihten itibaren 5 ayı geçmemek kaydıyla, dava dosyasının geri bırakılmasına, kararın taraflara tebliğine, 30.09.2014 tarihinde oybirliği ile karar verildi."</w:t>
      </w:r>
    </w:p>
    <w:p w:rsidR="00E02832" w:rsidRPr="00E02832" w:rsidRDefault="00E02832" w:rsidP="00E02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832">
        <w:rPr>
          <w:rFonts w:ascii="Times New Roman" w:eastAsia="Times New Roman" w:hAnsi="Times New Roman" w:cs="Times New Roman"/>
          <w:i/>
          <w:iCs/>
          <w:color w:val="000000"/>
          <w:sz w:val="24"/>
          <w:szCs w:val="19"/>
          <w:lang w:eastAsia="tr-TR"/>
        </w:rPr>
        <w:t> "</w:t>
      </w:r>
    </w:p>
    <w:p w:rsidR="00CE1FB9" w:rsidRPr="00E02832" w:rsidRDefault="00CE1FB9" w:rsidP="00E02832">
      <w:pPr>
        <w:spacing w:before="100" w:beforeAutospacing="1" w:after="100" w:afterAutospacing="1" w:line="240" w:lineRule="auto"/>
        <w:ind w:firstLine="709"/>
        <w:jc w:val="both"/>
        <w:rPr>
          <w:rFonts w:ascii="Times New Roman" w:hAnsi="Times New Roman" w:cs="Times New Roman"/>
          <w:sz w:val="24"/>
        </w:rPr>
      </w:pPr>
    </w:p>
    <w:sectPr w:rsidR="00CE1FB9" w:rsidRPr="00E028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41" w:rsidRDefault="00140341" w:rsidP="00E02832">
      <w:pPr>
        <w:spacing w:after="0" w:line="240" w:lineRule="auto"/>
      </w:pPr>
      <w:r>
        <w:separator/>
      </w:r>
    </w:p>
  </w:endnote>
  <w:endnote w:type="continuationSeparator" w:id="0">
    <w:p w:rsidR="00140341" w:rsidRDefault="00140341" w:rsidP="00E0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32" w:rsidRDefault="00E02832" w:rsidP="001F53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2832" w:rsidRDefault="00E02832" w:rsidP="00E028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32" w:rsidRPr="00E02832" w:rsidRDefault="00E02832" w:rsidP="001F532A">
    <w:pPr>
      <w:pStyle w:val="Altbilgi"/>
      <w:framePr w:wrap="around" w:vAnchor="text" w:hAnchor="margin" w:xAlign="right" w:y="1"/>
      <w:rPr>
        <w:rStyle w:val="SayfaNumaras"/>
        <w:rFonts w:ascii="Times New Roman" w:hAnsi="Times New Roman" w:cs="Times New Roman"/>
      </w:rPr>
    </w:pPr>
    <w:r w:rsidRPr="00E02832">
      <w:rPr>
        <w:rStyle w:val="SayfaNumaras"/>
        <w:rFonts w:ascii="Times New Roman" w:hAnsi="Times New Roman" w:cs="Times New Roman"/>
      </w:rPr>
      <w:fldChar w:fldCharType="begin"/>
    </w:r>
    <w:r w:rsidRPr="00E02832">
      <w:rPr>
        <w:rStyle w:val="SayfaNumaras"/>
        <w:rFonts w:ascii="Times New Roman" w:hAnsi="Times New Roman" w:cs="Times New Roman"/>
      </w:rPr>
      <w:instrText xml:space="preserve">PAGE  </w:instrText>
    </w:r>
    <w:r w:rsidRPr="00E0283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02832">
      <w:rPr>
        <w:rStyle w:val="SayfaNumaras"/>
        <w:rFonts w:ascii="Times New Roman" w:hAnsi="Times New Roman" w:cs="Times New Roman"/>
      </w:rPr>
      <w:fldChar w:fldCharType="end"/>
    </w:r>
  </w:p>
  <w:p w:rsidR="00E02832" w:rsidRPr="00E02832" w:rsidRDefault="00E02832" w:rsidP="00E028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41" w:rsidRDefault="00140341" w:rsidP="00E02832">
      <w:pPr>
        <w:spacing w:after="0" w:line="240" w:lineRule="auto"/>
      </w:pPr>
      <w:r>
        <w:separator/>
      </w:r>
    </w:p>
  </w:footnote>
  <w:footnote w:type="continuationSeparator" w:id="0">
    <w:p w:rsidR="00140341" w:rsidRDefault="00140341" w:rsidP="00E02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32" w:rsidRPr="00FA266B" w:rsidRDefault="00E02832" w:rsidP="00E02832">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Esas Sayısı : 2014/178</w:t>
    </w:r>
  </w:p>
  <w:p w:rsidR="00E02832" w:rsidRPr="00FA266B" w:rsidRDefault="00E02832" w:rsidP="00E02832">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Karar Sayısı : 2014/178</w:t>
    </w:r>
  </w:p>
  <w:p w:rsidR="00E02832" w:rsidRPr="00E02832" w:rsidRDefault="00E02832" w:rsidP="00E028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32"/>
    <w:rsid w:val="00140341"/>
    <w:rsid w:val="00CE1FB9"/>
    <w:rsid w:val="00E02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4053-AB5A-44E9-9CC1-CBF062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E028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4ptkalnkkbykharf">
    <w:name w:val="gvdemetni14ptkalnkkbykharf"/>
    <w:basedOn w:val="VarsaylanParagrafYazTipi"/>
    <w:rsid w:val="00E02832"/>
  </w:style>
  <w:style w:type="character" w:customStyle="1" w:styleId="gvdemetnikaln">
    <w:name w:val="gvdemetnikaln"/>
    <w:basedOn w:val="VarsaylanParagrafYazTipi"/>
    <w:rsid w:val="00E02832"/>
  </w:style>
  <w:style w:type="paragraph" w:customStyle="1" w:styleId="gvdemetni1">
    <w:name w:val="gvdemetni1"/>
    <w:basedOn w:val="Normal"/>
    <w:rsid w:val="00E028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28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2832"/>
  </w:style>
  <w:style w:type="paragraph" w:styleId="Altbilgi">
    <w:name w:val="footer"/>
    <w:basedOn w:val="Normal"/>
    <w:link w:val="AltbilgiChar"/>
    <w:uiPriority w:val="99"/>
    <w:unhideWhenUsed/>
    <w:rsid w:val="00E028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2832"/>
  </w:style>
  <w:style w:type="character" w:styleId="SayfaNumaras">
    <w:name w:val="page number"/>
    <w:basedOn w:val="VarsaylanParagrafYazTipi"/>
    <w:uiPriority w:val="99"/>
    <w:semiHidden/>
    <w:unhideWhenUsed/>
    <w:rsid w:val="00E0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2019-02-19T10:46:00Z</dcterms:created>
  <dcterms:modified xsi:type="dcterms:W3CDTF">2019-02-19T10:47:00Z</dcterms:modified>
</cp:coreProperties>
</file>