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13A54">
        <w:rPr>
          <w:rFonts w:ascii="Times New Roman" w:eastAsia="Times New Roman" w:hAnsi="Times New Roman" w:cs="Times New Roman"/>
          <w:b/>
          <w:bCs/>
          <w:color w:val="000000"/>
          <w:sz w:val="24"/>
          <w:szCs w:val="26"/>
          <w:lang w:eastAsia="tr-TR"/>
        </w:rPr>
        <w:t>"...</w:t>
      </w:r>
    </w:p>
    <w:p w:rsid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b/>
          <w:bCs/>
          <w:color w:val="000000"/>
          <w:sz w:val="24"/>
          <w:szCs w:val="26"/>
          <w:lang w:eastAsia="tr-TR"/>
        </w:rPr>
        <w:t>II- İTİRAZIN GEREKÇESİ</w:t>
      </w:r>
    </w:p>
    <w:p w:rsid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3A54">
        <w:rPr>
          <w:rFonts w:ascii="Times New Roman" w:eastAsia="Times New Roman" w:hAnsi="Times New Roman" w:cs="Times New Roman"/>
          <w:color w:val="000000"/>
          <w:sz w:val="24"/>
          <w:szCs w:val="26"/>
          <w:lang w:eastAsia="tr-TR"/>
        </w:rPr>
        <w:t>Başvuru kararının gerekçe bölümü şöyledir:</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color w:val="000000"/>
          <w:sz w:val="24"/>
          <w:szCs w:val="26"/>
          <w:lang w:eastAsia="tr-TR"/>
        </w:rPr>
        <w:t>"</w:t>
      </w:r>
      <w:r w:rsidRPr="00513A54">
        <w:rPr>
          <w:rFonts w:ascii="Times New Roman" w:eastAsia="Times New Roman" w:hAnsi="Times New Roman" w:cs="Times New Roman"/>
          <w:i/>
          <w:iCs/>
          <w:color w:val="000000"/>
          <w:sz w:val="24"/>
          <w:szCs w:val="26"/>
          <w:lang w:eastAsia="tr-TR"/>
        </w:rPr>
        <w:t>Türk Tabipler Birliği Merkez Konseyi Başkanlığı vekilleri Av. . ve Av. . tarafından, 30.12.2010 tarihli ve 27801 sayılı Resmi Gazete'de yayımlanarak yürürlüğe giren "Aile Hekimliği Uygulaması Kapsamında Sağlık Bakanlığınca Çalıştırılan Personele Yapılacak Ödemeler ile Sözleşme Usul ve Esasları Hakkında Yönetmelik'in 4. maddesinin 1. fıkrasının "c" bendinde yer alan "ve acil tıp teknisyenini" ibaresinin, 5. maddesinin 1. fıkrasının son cümlesinde yer alan "veya acil tıp teknisyenliği" ibaresinin, 8. maddesinin, 9. maddesinin son cümlesinin, 13. maddesinin 1. fıkrasının (a) ve (ı) bentlerinin, 16. maddesinin 1. fıkrasının (a) bendinde yer alan "Kayıtlı kişiler için; 1-) 0-59 ay grubu için (1,6) katsayısı, 2-) Gebeler için (3) katsayısı, 3-) 65 yaş üstü için (1,6) katsayısı 4-) Cezaevlerindeki tutuklu ve hükümlüler için (2,25) katsayısı, 5-) Diğer kişiler için (0,79) katsayısı, esas alınır" ibarelerinin, 16. maddesinin 1. fıkrasının (a) bendinin son paragrafındaki "(2.400) den fazla" ibaresinin, 16. maddesinin 1. fıkrasının (c) bendinde yer alan " %50'sinin" ibaresinin, 16. maddesinin 1. fıkrasının (c) bendinin 2, 3, 4 ve 5. paragraflarının, 17. maddesinin 1. fıkrasının, 18. maddesinin 1. fıkrasının, 24. maddesinin 1. fıkrasının 2. cümlesinin, Ek 2 nolu "Aile Hekimliği Uygulamasında Uygulanacak İhtar Puan Cetvelinin hukuka aykırılık nedeniyle, 14. maddesinin ise eksik düzenleme nedeniyle iptali istemiyle Başbakanlık, Sağlık Bakanlığı ve Türkiye Halk Sağlığı Kurumuna karşı açılan davada, 26/02/2014 tarihinde tarafların katılımıyla yapılan duruşmadan sonra, dosya incelendi, işin gereği düşünüldü;</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Davacı tarafından, bazı maddeleri dava konusu edilen Yönetmeliğin dayanağı olan 5258 sayılı Aile Hekimliği Kanununun 8. maddesinin Anayasaya aykırı olduğu iddia edilmiştir.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Anılan Yönetmeliğin "Dayanak" başlıklı 3. maddesinde, Yönetmeliğin, 24/11/2004 tarihli ve 5258 sayılı Aile Hekimliği Kanununun 8. maddesine dayanılarak hazırlandığı belirtilmiştir.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9.12.2004 günlü, 25665 sayılı Resmi Gazetede yayımlanarak yürürlüğe giren 5258 sayılı Aile Hekimliği Kanununun 8. maddesinde;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Aile hekimi ve aile sağlığı elemanlarıyla yapılacak sözleşmede yer alacak hususlar ve bu Kanunda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 kuralına yer verilmiştir.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lastRenderedPageBreak/>
        <w:t>Kanunun 8. maddesinin ikinci fıkrasının "... ve bu Kanunda belirlenen esaslar çerçevesinde bunlara yapılacak ödeme tutarları ile bu ücretlerden indirim oran ve şartları, sözleşmenin feshini gerektiren nedenler,..." bölümünün Anayasaya aykırılığı iddiası, aynı Yasanın başka maddeleri ile birlikte, TBMM üyeleri tarafından öne sürülerek Anayasa Mahkemesine götürülmüş, Mahkemenin 21.2.2008 günlü, E:2005/10, K:2008/63 sayılı kararıyla bu fıkraya ilişkin dava reddedilmiştir.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Aynı kararda, Yasanın 3. maddesinin ikinci fıkrasının son tümcesinin ve 8. maddenin 2. fıkrasındaki ibarelerin incelenmesi ile ilgili bölümlerde, aile hekimlerinin Anayasanın 128. maddesinde yer alan diğer kamu görevlisi kapsamında olduğu belirtilmiştir.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TC. Anayasası'nın 2. maddesinde Türkiye Cumhuriyetinin bir hukuk devleti olduğu; 7. maddesinde; yasama yetkisinin Türk Milleti adına Türkiye Büyük Millet Meclisinin olduğu ve bu yetkinin devredilemeyeceği; 50. maddesinde; ücretli hafta ve bayram tatili ile ücretli yıllık izin hakları ve şartlarının kanunla düzenleneceği;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hükme bağlanmıştır.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Anayasa Mahkemesinin yukarıda yer verilen kararı ile "diğer kamu görevlisi" kapsamında kabul edilen sözleşmeli aile hekimi ve aile sağlığı elemanlarının, nitelikleri, atanmaları, görev ve yetkileri, hakları ve yükümlülükleri, aylık ve ödenekleri ile diğer özlük işlerinin yasayla düzenleneceği Anayasanın 128. maddesi hükmü gereğidir.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Yukarıda değinilen Anayasa Mahkemesi kararıyla, bu gereğe vurgu yapıldıktan sonra, Yasada aile hekimi ve aile sağlığı elemanlarına yapılacak ödemelerin üst sınırının, yapılacak ödeme tutarlarının tespitinde dikkate alınacak kriterlerin belirlendiği ve hangi hallerde bu ödeme tutarından en fazla ne kadar indirim yapılacağı belirtilerek bu konularda yasal bir çerçeve çizilmesi nedeniyle yasada belirtilen esaslar çerçevesinde aile hekimlerine yapılacak ödeme tutarları ile bu ücretlerden indirim oranı ve şartlarının belirlenmesinin Yönetmeliğe bırakıldığı vurgulanarak, Yasada belirtilen genel çerçeve ve esaslar doğrultusunda ayrıntı ve uzmanlık gerektiren konuların yönetmelikle düzenlenmesi konusunda yetki verilmesinde Anayasaya aykırılık görülmemiştir.                  </w:t>
      </w:r>
    </w:p>
    <w:p w:rsidR="00513A54"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Bu durumda, anılan personelin nitelikleri, atanmaları, görev ve yetkileri, hakları ve yükümlülükleri ile özlük işlerine ilişkin örneğin incelenmekte olan davaya konu hükümlerde düzenlenen "izin haklarının"da yasa ile belirlenmesi ya da ilke ve esasları saptanıp çerçevesi belirlendikten sonra ayrıntıların çıkarılacak yönetmeliğe bırakılması gerekirken, konunun yasada hiç düzenlenmeyerek bu hususların esasının yönetmelikle düzenlenmesine yetki verilmesinde Anayasa'nın 7., 128. ve 50. maddesi hükümlerine uyarlık görülmemiştir.                  </w:t>
      </w:r>
    </w:p>
    <w:p w:rsidR="00CE1FB9" w:rsidRPr="00513A54" w:rsidRDefault="00513A54" w:rsidP="00513A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13A54">
        <w:rPr>
          <w:rFonts w:ascii="Times New Roman" w:eastAsia="Times New Roman" w:hAnsi="Times New Roman" w:cs="Times New Roman"/>
          <w:i/>
          <w:iCs/>
          <w:color w:val="000000"/>
          <w:sz w:val="24"/>
          <w:szCs w:val="26"/>
          <w:lang w:eastAsia="tr-TR"/>
        </w:rPr>
        <w:t>Açıklanan nedenlerle, 6216 sayılı Yasa'nın 40. maddesinin 1. fıkrası gereğince, 9.12.2004 günlü, 25665 sayılı Resmi Gazetede yayımlanarak yürürlüğe giren Aile Hekimliği Kanununun 8. maddesinin iptali için Anayasa'nın 152. maddesinin birinci fıkrası uyarınca Anayasa Mahkemesine başvurulmasına, gerekçeli başvuru kararının aslı ile başvuru kararına ilişkin tutanağın onaylı örneğinin ve dava dilekçesi ile dosyada bulunan ilgili belgelerin onaylı birer örneğinin Anayasa Mahkemesi Başkanlığına gönderilmesine, 28.2.2014 tarihinde oyçokluğuyla karar verildi.</w:t>
      </w:r>
      <w:r w:rsidRPr="00513A54">
        <w:rPr>
          <w:rFonts w:ascii="Times New Roman" w:eastAsia="Times New Roman" w:hAnsi="Times New Roman" w:cs="Times New Roman"/>
          <w:color w:val="000000"/>
          <w:sz w:val="24"/>
          <w:szCs w:val="26"/>
          <w:lang w:eastAsia="tr-TR"/>
        </w:rPr>
        <w:t>"</w:t>
      </w:r>
      <w:bookmarkStart w:id="0" w:name="_GoBack"/>
      <w:bookmarkEnd w:id="0"/>
    </w:p>
    <w:sectPr w:rsidR="00CE1FB9" w:rsidRPr="00513A5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B9" w:rsidRDefault="007139B9" w:rsidP="00513A54">
      <w:pPr>
        <w:spacing w:after="0" w:line="240" w:lineRule="auto"/>
      </w:pPr>
      <w:r>
        <w:separator/>
      </w:r>
    </w:p>
  </w:endnote>
  <w:endnote w:type="continuationSeparator" w:id="0">
    <w:p w:rsidR="007139B9" w:rsidRDefault="007139B9" w:rsidP="0051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54" w:rsidRDefault="00513A54" w:rsidP="00E003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3A54" w:rsidRDefault="00513A54" w:rsidP="00513A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54" w:rsidRPr="00513A54" w:rsidRDefault="00513A54" w:rsidP="00E00326">
    <w:pPr>
      <w:pStyle w:val="Altbilgi"/>
      <w:framePr w:wrap="around" w:vAnchor="text" w:hAnchor="margin" w:xAlign="right" w:y="1"/>
      <w:rPr>
        <w:rStyle w:val="SayfaNumaras"/>
        <w:rFonts w:ascii="Times New Roman" w:hAnsi="Times New Roman" w:cs="Times New Roman"/>
      </w:rPr>
    </w:pPr>
    <w:r w:rsidRPr="00513A54">
      <w:rPr>
        <w:rStyle w:val="SayfaNumaras"/>
        <w:rFonts w:ascii="Times New Roman" w:hAnsi="Times New Roman" w:cs="Times New Roman"/>
      </w:rPr>
      <w:fldChar w:fldCharType="begin"/>
    </w:r>
    <w:r w:rsidRPr="00513A54">
      <w:rPr>
        <w:rStyle w:val="SayfaNumaras"/>
        <w:rFonts w:ascii="Times New Roman" w:hAnsi="Times New Roman" w:cs="Times New Roman"/>
      </w:rPr>
      <w:instrText xml:space="preserve">PAGE  </w:instrText>
    </w:r>
    <w:r w:rsidRPr="00513A5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13A54">
      <w:rPr>
        <w:rStyle w:val="SayfaNumaras"/>
        <w:rFonts w:ascii="Times New Roman" w:hAnsi="Times New Roman" w:cs="Times New Roman"/>
      </w:rPr>
      <w:fldChar w:fldCharType="end"/>
    </w:r>
  </w:p>
  <w:p w:rsidR="00513A54" w:rsidRPr="00513A54" w:rsidRDefault="00513A54" w:rsidP="00513A5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B9" w:rsidRDefault="007139B9" w:rsidP="00513A54">
      <w:pPr>
        <w:spacing w:after="0" w:line="240" w:lineRule="auto"/>
      </w:pPr>
      <w:r>
        <w:separator/>
      </w:r>
    </w:p>
  </w:footnote>
  <w:footnote w:type="continuationSeparator" w:id="0">
    <w:p w:rsidR="007139B9" w:rsidRDefault="007139B9" w:rsidP="00513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A54" w:rsidRPr="00E14759" w:rsidRDefault="00513A54" w:rsidP="00513A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4759">
      <w:rPr>
        <w:rFonts w:ascii="Times New Roman" w:eastAsia="Times New Roman" w:hAnsi="Times New Roman" w:cs="Times New Roman"/>
        <w:b/>
        <w:bCs/>
        <w:color w:val="000000"/>
        <w:sz w:val="24"/>
        <w:szCs w:val="26"/>
        <w:lang w:eastAsia="tr-TR"/>
      </w:rPr>
      <w:t>Esas Sayısı : 2014/82</w:t>
    </w:r>
  </w:p>
  <w:p w:rsidR="00513A54" w:rsidRPr="00E14759" w:rsidRDefault="00513A54" w:rsidP="00513A5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14759">
      <w:rPr>
        <w:rFonts w:ascii="Times New Roman" w:eastAsia="Times New Roman" w:hAnsi="Times New Roman" w:cs="Times New Roman"/>
        <w:b/>
        <w:bCs/>
        <w:color w:val="000000"/>
        <w:sz w:val="24"/>
        <w:szCs w:val="26"/>
        <w:lang w:eastAsia="tr-TR"/>
      </w:rPr>
      <w:t>Karar Sayısı : 2014/143</w:t>
    </w:r>
  </w:p>
  <w:p w:rsidR="00513A54" w:rsidRPr="00513A54" w:rsidRDefault="00513A54" w:rsidP="00513A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54"/>
    <w:rsid w:val="00513A54"/>
    <w:rsid w:val="007139B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EE9EA-32DA-4383-8CA3-ACED752F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513A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13A5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13A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3A54"/>
  </w:style>
  <w:style w:type="paragraph" w:styleId="Altbilgi">
    <w:name w:val="footer"/>
    <w:basedOn w:val="Normal"/>
    <w:link w:val="AltbilgiChar"/>
    <w:uiPriority w:val="99"/>
    <w:unhideWhenUsed/>
    <w:rsid w:val="00513A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3A54"/>
  </w:style>
  <w:style w:type="character" w:styleId="SayfaNumaras">
    <w:name w:val="page number"/>
    <w:basedOn w:val="VarsaylanParagrafYazTipi"/>
    <w:uiPriority w:val="99"/>
    <w:semiHidden/>
    <w:unhideWhenUsed/>
    <w:rsid w:val="00513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2019-02-18T13:18:00Z</dcterms:created>
  <dcterms:modified xsi:type="dcterms:W3CDTF">2019-02-18T13:20:00Z</dcterms:modified>
</cp:coreProperties>
</file>