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BF" w:rsidRP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72BBF">
        <w:rPr>
          <w:rFonts w:ascii="Times New Roman" w:eastAsia="Times New Roman" w:hAnsi="Times New Roman" w:cs="Times New Roman"/>
          <w:b/>
          <w:bCs/>
          <w:color w:val="000000"/>
          <w:sz w:val="24"/>
          <w:lang w:eastAsia="tr-TR"/>
        </w:rPr>
        <w:t>"...</w:t>
      </w:r>
    </w:p>
    <w:p w:rsid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BBF">
        <w:rPr>
          <w:rFonts w:ascii="Times New Roman" w:eastAsia="Times New Roman" w:hAnsi="Times New Roman" w:cs="Times New Roman"/>
          <w:b/>
          <w:bCs/>
          <w:color w:val="000000"/>
          <w:sz w:val="24"/>
          <w:lang w:eastAsia="tr-TR"/>
        </w:rPr>
        <w:t>II- İTİRAZIN GEREKÇESİ</w:t>
      </w:r>
    </w:p>
    <w:p w:rsid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BBF">
        <w:rPr>
          <w:rFonts w:ascii="Times New Roman" w:eastAsia="Times New Roman" w:hAnsi="Times New Roman" w:cs="Times New Roman"/>
          <w:color w:val="000000"/>
          <w:sz w:val="24"/>
          <w:szCs w:val="19"/>
          <w:lang w:eastAsia="tr-TR"/>
        </w:rPr>
        <w:t>Başvuru kararının gerekçe bölümü şöyledir:</w:t>
      </w:r>
    </w:p>
    <w:p w:rsid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BBF">
        <w:rPr>
          <w:rFonts w:ascii="Times New Roman" w:eastAsia="Times New Roman" w:hAnsi="Times New Roman" w:cs="Times New Roman"/>
          <w:i/>
          <w:iCs/>
          <w:color w:val="000000"/>
          <w:sz w:val="24"/>
          <w:szCs w:val="19"/>
          <w:lang w:eastAsia="tr-TR"/>
        </w:rPr>
        <w:t>“</w:t>
      </w:r>
      <w:r w:rsidRPr="00372BBF">
        <w:rPr>
          <w:rFonts w:ascii="Times New Roman" w:eastAsia="Times New Roman" w:hAnsi="Times New Roman" w:cs="Times New Roman"/>
          <w:color w:val="000000"/>
          <w:sz w:val="24"/>
          <w:szCs w:val="19"/>
          <w:lang w:eastAsia="tr-TR"/>
        </w:rPr>
        <w:t>(...)</w:t>
      </w:r>
    </w:p>
    <w:p w:rsid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BBF">
        <w:rPr>
          <w:rFonts w:ascii="Times New Roman" w:eastAsia="Times New Roman" w:hAnsi="Times New Roman" w:cs="Times New Roman"/>
          <w:i/>
          <w:iCs/>
          <w:color w:val="000000"/>
          <w:sz w:val="24"/>
          <w:szCs w:val="19"/>
          <w:lang w:eastAsia="tr-TR"/>
        </w:rPr>
        <w:t xml:space="preserve">Adli Tıp Kurumu Kanununun l </w:t>
      </w:r>
      <w:proofErr w:type="spellStart"/>
      <w:r w:rsidRPr="00372BBF">
        <w:rPr>
          <w:rFonts w:ascii="Times New Roman" w:eastAsia="Times New Roman" w:hAnsi="Times New Roman" w:cs="Times New Roman"/>
          <w:i/>
          <w:iCs/>
          <w:color w:val="000000"/>
          <w:sz w:val="24"/>
          <w:szCs w:val="19"/>
          <w:lang w:eastAsia="tr-TR"/>
        </w:rPr>
        <w:t>nci</w:t>
      </w:r>
      <w:proofErr w:type="spellEnd"/>
      <w:r w:rsidRPr="00372BBF">
        <w:rPr>
          <w:rFonts w:ascii="Times New Roman" w:eastAsia="Times New Roman" w:hAnsi="Times New Roman" w:cs="Times New Roman"/>
          <w:i/>
          <w:iCs/>
          <w:color w:val="000000"/>
          <w:sz w:val="24"/>
          <w:szCs w:val="19"/>
          <w:lang w:eastAsia="tr-TR"/>
        </w:rPr>
        <w:t xml:space="preserve"> maddesine göre ilgili kurum Adli Hizmetlerde Resmi Bilirkişilik Kurumudur. Bu nedenler mahkemeler uyuşmazlıklarda uzmanlık alanları nedeniyle Adli Tıp Kurumundan görüş ve rapor almaktadır. Yine Adli Tıp Kurumu Kanununun 16 </w:t>
      </w:r>
      <w:proofErr w:type="spellStart"/>
      <w:r w:rsidRPr="00372BBF">
        <w:rPr>
          <w:rFonts w:ascii="Times New Roman" w:eastAsia="Times New Roman" w:hAnsi="Times New Roman" w:cs="Times New Roman"/>
          <w:i/>
          <w:iCs/>
          <w:color w:val="000000"/>
          <w:sz w:val="24"/>
          <w:szCs w:val="19"/>
          <w:lang w:eastAsia="tr-TR"/>
        </w:rPr>
        <w:t>ncı</w:t>
      </w:r>
      <w:proofErr w:type="spellEnd"/>
      <w:r w:rsidRPr="00372BBF">
        <w:rPr>
          <w:rFonts w:ascii="Times New Roman" w:eastAsia="Times New Roman" w:hAnsi="Times New Roman" w:cs="Times New Roman"/>
          <w:i/>
          <w:iCs/>
          <w:color w:val="000000"/>
          <w:sz w:val="24"/>
          <w:szCs w:val="19"/>
          <w:lang w:eastAsia="tr-TR"/>
        </w:rPr>
        <w:t xml:space="preserve"> maddesinde hangi uyuşmazlıklarda hangi ihtisas kurullarına dosyanın gönderileceği de belirlenmiştir. Belirleme yapılırken genel düzenlemeler yapılmış her somut olayın kendi özelliğine göre kurulda bulunması gereken uzmanlık </w:t>
      </w:r>
      <w:proofErr w:type="gramStart"/>
      <w:r w:rsidRPr="00372BBF">
        <w:rPr>
          <w:rFonts w:ascii="Times New Roman" w:eastAsia="Times New Roman" w:hAnsi="Times New Roman" w:cs="Times New Roman"/>
          <w:i/>
          <w:iCs/>
          <w:color w:val="000000"/>
          <w:sz w:val="24"/>
          <w:szCs w:val="19"/>
          <w:lang w:eastAsia="tr-TR"/>
        </w:rPr>
        <w:t>branşları</w:t>
      </w:r>
      <w:proofErr w:type="gramEnd"/>
      <w:r w:rsidRPr="00372BBF">
        <w:rPr>
          <w:rFonts w:ascii="Times New Roman" w:eastAsia="Times New Roman" w:hAnsi="Times New Roman" w:cs="Times New Roman"/>
          <w:i/>
          <w:iCs/>
          <w:color w:val="000000"/>
          <w:sz w:val="24"/>
          <w:szCs w:val="19"/>
          <w:lang w:eastAsia="tr-TR"/>
        </w:rPr>
        <w:t xml:space="preserve"> çok çeşitli olmasına rağmen 7’nci maddedeki düzenleme nedeniyle tıbbi konularda görüş belirtirken heyette konunun doğrudan uzmanı olmayan Adli Tıp uzmanları veya diğer tıp branşlarından uzmanlar bir araya gelerek yasa gereği heyeti bu şekilde teşekkül ettirmekte ve bu durumda ilgili uyuşmazlığa özel uzmanlar yerine konuyla doğrudan ilgisi olmayan uzmanlar heyette yer almaktadır. </w:t>
      </w:r>
      <w:proofErr w:type="gramStart"/>
      <w:r w:rsidRPr="00372BBF">
        <w:rPr>
          <w:rFonts w:ascii="Times New Roman" w:eastAsia="Times New Roman" w:hAnsi="Times New Roman" w:cs="Times New Roman"/>
          <w:i/>
          <w:iCs/>
          <w:color w:val="000000"/>
          <w:sz w:val="24"/>
          <w:szCs w:val="19"/>
          <w:lang w:eastAsia="tr-TR"/>
        </w:rPr>
        <w:t xml:space="preserve">Örneğin, bir uyuşmazlık açısından özellikle psikolog, nörolog, psikiyatrist uzmanlık alanlarından oluşması gereken uzmanlar heyeti yerine içlerinde sadece bir adet psikiyatri uzmanı olan ve diğer üyeleri ortopedist, çocuk doktoru, </w:t>
      </w:r>
      <w:proofErr w:type="spellStart"/>
      <w:r w:rsidRPr="00372BBF">
        <w:rPr>
          <w:rFonts w:ascii="Times New Roman" w:eastAsia="Times New Roman" w:hAnsi="Times New Roman" w:cs="Times New Roman"/>
          <w:i/>
          <w:iCs/>
          <w:color w:val="000000"/>
          <w:sz w:val="24"/>
          <w:szCs w:val="19"/>
          <w:lang w:eastAsia="tr-TR"/>
        </w:rPr>
        <w:t>hemotolog</w:t>
      </w:r>
      <w:proofErr w:type="spellEnd"/>
      <w:r w:rsidRPr="00372BBF">
        <w:rPr>
          <w:rFonts w:ascii="Times New Roman" w:eastAsia="Times New Roman" w:hAnsi="Times New Roman" w:cs="Times New Roman"/>
          <w:i/>
          <w:iCs/>
          <w:color w:val="000000"/>
          <w:sz w:val="24"/>
          <w:szCs w:val="19"/>
          <w:lang w:eastAsia="tr-TR"/>
        </w:rPr>
        <w:t xml:space="preserve"> vb. konuyla ilgili olmayan uzmanlar heyette bulunabilmekte ve bu durumda da ilgili hekimin kendi özel eğitimi, yüksek lisansı, doktorası konularıyla ilgili bilimsel çalışmaları ile heyete sağlayacağı katkı sağlanamamaktadır. </w:t>
      </w:r>
      <w:proofErr w:type="gramEnd"/>
      <w:r w:rsidRPr="00372BBF">
        <w:rPr>
          <w:rFonts w:ascii="Times New Roman" w:eastAsia="Times New Roman" w:hAnsi="Times New Roman" w:cs="Times New Roman"/>
          <w:i/>
          <w:iCs/>
          <w:color w:val="000000"/>
          <w:sz w:val="24"/>
          <w:szCs w:val="19"/>
          <w:lang w:eastAsia="tr-TR"/>
        </w:rPr>
        <w:t xml:space="preserve">Nitekim </w:t>
      </w:r>
      <w:proofErr w:type="spellStart"/>
      <w:r w:rsidRPr="00372BBF">
        <w:rPr>
          <w:rFonts w:ascii="Times New Roman" w:eastAsia="Times New Roman" w:hAnsi="Times New Roman" w:cs="Times New Roman"/>
          <w:i/>
          <w:iCs/>
          <w:color w:val="000000"/>
          <w:sz w:val="24"/>
          <w:szCs w:val="19"/>
          <w:lang w:eastAsia="tr-TR"/>
        </w:rPr>
        <w:t>Yargıtayda</w:t>
      </w:r>
      <w:proofErr w:type="spellEnd"/>
      <w:r w:rsidRPr="00372BBF">
        <w:rPr>
          <w:rFonts w:ascii="Times New Roman" w:eastAsia="Times New Roman" w:hAnsi="Times New Roman" w:cs="Times New Roman"/>
          <w:i/>
          <w:iCs/>
          <w:color w:val="000000"/>
          <w:sz w:val="24"/>
          <w:szCs w:val="19"/>
          <w:lang w:eastAsia="tr-TR"/>
        </w:rPr>
        <w:t xml:space="preserve"> pek çok bozma ilamında Adli Tıp Kurumu ilgili İhtisas Dairesinin uzmanlarının </w:t>
      </w:r>
      <w:proofErr w:type="spellStart"/>
      <w:r w:rsidRPr="00372BBF">
        <w:rPr>
          <w:rFonts w:ascii="Times New Roman" w:eastAsia="Times New Roman" w:hAnsi="Times New Roman" w:cs="Times New Roman"/>
          <w:i/>
          <w:iCs/>
          <w:color w:val="000000"/>
          <w:sz w:val="24"/>
          <w:szCs w:val="19"/>
          <w:lang w:eastAsia="tr-TR"/>
        </w:rPr>
        <w:t>ünvanlarını</w:t>
      </w:r>
      <w:proofErr w:type="spellEnd"/>
      <w:r w:rsidRPr="00372BBF">
        <w:rPr>
          <w:rFonts w:ascii="Times New Roman" w:eastAsia="Times New Roman" w:hAnsi="Times New Roman" w:cs="Times New Roman"/>
          <w:i/>
          <w:iCs/>
          <w:color w:val="000000"/>
          <w:sz w:val="24"/>
          <w:szCs w:val="19"/>
          <w:lang w:eastAsia="tr-TR"/>
        </w:rPr>
        <w:t xml:space="preserve"> sayarak heyette ilgili uzmanlık alanından yeterli sayıda uzman bulunmamasının bozma nedeni yapmaktadır. </w:t>
      </w:r>
      <w:proofErr w:type="gramStart"/>
      <w:r w:rsidRPr="00372BBF">
        <w:rPr>
          <w:rFonts w:ascii="Times New Roman" w:eastAsia="Times New Roman" w:hAnsi="Times New Roman" w:cs="Times New Roman"/>
          <w:i/>
          <w:iCs/>
          <w:color w:val="000000"/>
          <w:sz w:val="24"/>
          <w:szCs w:val="19"/>
          <w:lang w:eastAsia="tr-TR"/>
        </w:rPr>
        <w:t xml:space="preserve">Bu şekilde heyetin yasa ile oluşturulmuş çalışma düzeni ve heyet teşekkülü davanın tarafları açısından Anayasa’nın 17 </w:t>
      </w:r>
      <w:proofErr w:type="spellStart"/>
      <w:r w:rsidRPr="00372BBF">
        <w:rPr>
          <w:rFonts w:ascii="Times New Roman" w:eastAsia="Times New Roman" w:hAnsi="Times New Roman" w:cs="Times New Roman"/>
          <w:i/>
          <w:iCs/>
          <w:color w:val="000000"/>
          <w:sz w:val="24"/>
          <w:szCs w:val="19"/>
          <w:lang w:eastAsia="tr-TR"/>
        </w:rPr>
        <w:t>nci</w:t>
      </w:r>
      <w:proofErr w:type="spellEnd"/>
      <w:r w:rsidRPr="00372BBF">
        <w:rPr>
          <w:rFonts w:ascii="Times New Roman" w:eastAsia="Times New Roman" w:hAnsi="Times New Roman" w:cs="Times New Roman"/>
          <w:i/>
          <w:iCs/>
          <w:color w:val="000000"/>
          <w:sz w:val="24"/>
          <w:szCs w:val="19"/>
          <w:lang w:eastAsia="tr-TR"/>
        </w:rPr>
        <w:t xml:space="preserve"> maddesinde anlatımını bulan herkesin yaşama ve maddi varlığını devam ettirme hakkına ve bu hakkı elde etmeye engel olduğu gibi yine Anayasa’nın 36’ncı maddesinde anlatımını bulan “Herkes, meşru vasıta ve yollardan faydalanmak suretiyle yargı mercileri önünde davacı veya davalı olarak iddia ve savunma (Ek ibare: 4709 - 3.10.2001 / m. 14) “ile adil yargılanma” hakkına sahiptir.” ilkesine aykırı düşmektedir. </w:t>
      </w:r>
      <w:proofErr w:type="gramEnd"/>
      <w:r w:rsidRPr="00372BBF">
        <w:rPr>
          <w:rFonts w:ascii="Times New Roman" w:eastAsia="Times New Roman" w:hAnsi="Times New Roman" w:cs="Times New Roman"/>
          <w:i/>
          <w:iCs/>
          <w:color w:val="000000"/>
          <w:sz w:val="24"/>
          <w:szCs w:val="19"/>
          <w:lang w:eastAsia="tr-TR"/>
        </w:rPr>
        <w:t xml:space="preserve">Davanın tarafları haklılıklarını meşru vasıtalarla inandırıcı ve güvenilir </w:t>
      </w:r>
      <w:proofErr w:type="gramStart"/>
      <w:r w:rsidRPr="00372BBF">
        <w:rPr>
          <w:rFonts w:ascii="Times New Roman" w:eastAsia="Times New Roman" w:hAnsi="Times New Roman" w:cs="Times New Roman"/>
          <w:i/>
          <w:iCs/>
          <w:color w:val="000000"/>
          <w:sz w:val="24"/>
          <w:szCs w:val="19"/>
          <w:lang w:eastAsia="tr-TR"/>
        </w:rPr>
        <w:t>delillerle</w:t>
      </w:r>
      <w:proofErr w:type="gramEnd"/>
      <w:r w:rsidRPr="00372BBF">
        <w:rPr>
          <w:rFonts w:ascii="Times New Roman" w:eastAsia="Times New Roman" w:hAnsi="Times New Roman" w:cs="Times New Roman"/>
          <w:i/>
          <w:iCs/>
          <w:color w:val="000000"/>
          <w:sz w:val="24"/>
          <w:szCs w:val="19"/>
          <w:lang w:eastAsia="tr-TR"/>
        </w:rPr>
        <w:t xml:space="preserve"> ispat etme hakkına sahiptirler. Bu haklarını kullanırken yasalar çerçevesinde kendilerine birtakım delil toplama ve toplatma haklarını yasalar vermiştir. Uyuşmazlık konusu olayda davacı tıbbi bir işlemdeki davalının sorumluluğunu davalı yan da bu işlemdeki kusursuzluğunu kanıtlamak konusunda aynı talep ve haklara sahiptirler. </w:t>
      </w:r>
      <w:proofErr w:type="gramStart"/>
      <w:r w:rsidRPr="00372BBF">
        <w:rPr>
          <w:rFonts w:ascii="Times New Roman" w:eastAsia="Times New Roman" w:hAnsi="Times New Roman" w:cs="Times New Roman"/>
          <w:i/>
          <w:iCs/>
          <w:color w:val="000000"/>
          <w:sz w:val="24"/>
          <w:szCs w:val="19"/>
          <w:lang w:eastAsia="tr-TR"/>
        </w:rPr>
        <w:t>Oysa,</w:t>
      </w:r>
      <w:proofErr w:type="gramEnd"/>
      <w:r w:rsidRPr="00372BBF">
        <w:rPr>
          <w:rFonts w:ascii="Times New Roman" w:eastAsia="Times New Roman" w:hAnsi="Times New Roman" w:cs="Times New Roman"/>
          <w:i/>
          <w:iCs/>
          <w:color w:val="000000"/>
          <w:sz w:val="24"/>
          <w:szCs w:val="19"/>
          <w:lang w:eastAsia="tr-TR"/>
        </w:rPr>
        <w:t xml:space="preserve"> tüm mahkemeler açısından resmi bir bilirkişilik kurumu olan Adli Tıp Kurumu Kanununun İhtisas Dairelerinin oluşma şekli ilgili bu düzenlemesi mahkemelere her somut uyuşmazlığa uygun şekilde uzmanlar kurulu oluşturmaya imkan vermemekte ve dolaysıyla davanın tarafları resmi bilirkişilik müessesesinden etkin şekilde yararlanamamaktadır. Bu nedenle Adli Tıp Kurumu Kanununun 7 </w:t>
      </w:r>
      <w:proofErr w:type="spellStart"/>
      <w:r w:rsidRPr="00372BBF">
        <w:rPr>
          <w:rFonts w:ascii="Times New Roman" w:eastAsia="Times New Roman" w:hAnsi="Times New Roman" w:cs="Times New Roman"/>
          <w:i/>
          <w:iCs/>
          <w:color w:val="000000"/>
          <w:sz w:val="24"/>
          <w:szCs w:val="19"/>
          <w:lang w:eastAsia="tr-TR"/>
        </w:rPr>
        <w:t>nci</w:t>
      </w:r>
      <w:proofErr w:type="spellEnd"/>
      <w:r w:rsidRPr="00372BBF">
        <w:rPr>
          <w:rFonts w:ascii="Times New Roman" w:eastAsia="Times New Roman" w:hAnsi="Times New Roman" w:cs="Times New Roman"/>
          <w:i/>
          <w:iCs/>
          <w:color w:val="000000"/>
          <w:sz w:val="24"/>
          <w:szCs w:val="19"/>
          <w:lang w:eastAsia="tr-TR"/>
        </w:rPr>
        <w:t xml:space="preserve"> maddesindeki düzenlemenin Anayasa’ya aykırı olduğu yönündeki davacı iddiası mahkememizce de ciddi görülerek iptali için başvurma zorunluluğu doğmuştur.</w:t>
      </w:r>
    </w:p>
    <w:p w:rsid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372BBF">
        <w:rPr>
          <w:rFonts w:ascii="Times New Roman" w:eastAsia="Times New Roman" w:hAnsi="Times New Roman" w:cs="Times New Roman"/>
          <w:i/>
          <w:iCs/>
          <w:color w:val="000000"/>
          <w:sz w:val="24"/>
          <w:szCs w:val="19"/>
          <w:lang w:eastAsia="tr-TR"/>
        </w:rPr>
        <w:t xml:space="preserve">SONUÇ VE </w:t>
      </w:r>
      <w:proofErr w:type="gramStart"/>
      <w:r w:rsidRPr="00372BBF">
        <w:rPr>
          <w:rFonts w:ascii="Times New Roman" w:eastAsia="Times New Roman" w:hAnsi="Times New Roman" w:cs="Times New Roman"/>
          <w:i/>
          <w:iCs/>
          <w:color w:val="000000"/>
          <w:sz w:val="24"/>
          <w:szCs w:val="19"/>
          <w:lang w:eastAsia="tr-TR"/>
        </w:rPr>
        <w:t>İSTEM</w:t>
      </w:r>
      <w:r w:rsidRPr="00372BBF">
        <w:rPr>
          <w:rFonts w:ascii="Times New Roman" w:eastAsia="Times New Roman" w:hAnsi="Times New Roman" w:cs="Times New Roman"/>
          <w:b/>
          <w:bCs/>
          <w:i/>
          <w:iCs/>
          <w:color w:val="000000"/>
          <w:sz w:val="24"/>
          <w:szCs w:val="19"/>
          <w:lang w:eastAsia="tr-TR"/>
        </w:rPr>
        <w:t>   :</w:t>
      </w:r>
      <w:r w:rsidRPr="00372BBF">
        <w:rPr>
          <w:rFonts w:ascii="Times New Roman" w:eastAsia="Times New Roman" w:hAnsi="Times New Roman" w:cs="Times New Roman"/>
          <w:i/>
          <w:iCs/>
          <w:color w:val="000000"/>
          <w:sz w:val="24"/>
          <w:szCs w:val="19"/>
          <w:lang w:eastAsia="tr-TR"/>
        </w:rPr>
        <w:t> Yukarıda</w:t>
      </w:r>
      <w:proofErr w:type="gramEnd"/>
      <w:r w:rsidRPr="00372BBF">
        <w:rPr>
          <w:rFonts w:ascii="Times New Roman" w:eastAsia="Times New Roman" w:hAnsi="Times New Roman" w:cs="Times New Roman"/>
          <w:i/>
          <w:iCs/>
          <w:color w:val="000000"/>
          <w:sz w:val="24"/>
          <w:szCs w:val="19"/>
          <w:lang w:eastAsia="tr-TR"/>
        </w:rPr>
        <w:t xml:space="preserve"> açıklanan nedenlerle;</w:t>
      </w:r>
    </w:p>
    <w:p w:rsidR="00372BBF" w:rsidRPr="00372BBF" w:rsidRDefault="00372BBF" w:rsidP="00372BB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72BBF">
        <w:rPr>
          <w:rFonts w:ascii="Times New Roman" w:eastAsia="Times New Roman" w:hAnsi="Times New Roman" w:cs="Times New Roman"/>
          <w:i/>
          <w:iCs/>
          <w:color w:val="000000"/>
          <w:sz w:val="24"/>
          <w:szCs w:val="19"/>
          <w:lang w:eastAsia="tr-TR"/>
        </w:rPr>
        <w:t xml:space="preserve">Adli Tıp Kurumu Kanunu’nun 7 </w:t>
      </w:r>
      <w:proofErr w:type="spellStart"/>
      <w:r w:rsidRPr="00372BBF">
        <w:rPr>
          <w:rFonts w:ascii="Times New Roman" w:eastAsia="Times New Roman" w:hAnsi="Times New Roman" w:cs="Times New Roman"/>
          <w:i/>
          <w:iCs/>
          <w:color w:val="000000"/>
          <w:sz w:val="24"/>
          <w:szCs w:val="19"/>
          <w:lang w:eastAsia="tr-TR"/>
        </w:rPr>
        <w:t>nci</w:t>
      </w:r>
      <w:proofErr w:type="spellEnd"/>
      <w:r w:rsidRPr="00372BBF">
        <w:rPr>
          <w:rFonts w:ascii="Times New Roman" w:eastAsia="Times New Roman" w:hAnsi="Times New Roman" w:cs="Times New Roman"/>
          <w:i/>
          <w:iCs/>
          <w:color w:val="000000"/>
          <w:sz w:val="24"/>
          <w:szCs w:val="19"/>
          <w:lang w:eastAsia="tr-TR"/>
        </w:rPr>
        <w:t xml:space="preserve"> maddesinin Anayasa’nın 17. ve 36. maddelerine aykırı olduğunun tespiti ile iptaline karar verilmesine arz olunur.”"</w:t>
      </w:r>
    </w:p>
    <w:p w:rsidR="00CE1FB9" w:rsidRPr="00372BBF" w:rsidRDefault="00CE1FB9" w:rsidP="00372BBF">
      <w:pPr>
        <w:spacing w:before="100" w:beforeAutospacing="1" w:after="100" w:afterAutospacing="1" w:line="240" w:lineRule="auto"/>
        <w:ind w:firstLine="709"/>
        <w:jc w:val="both"/>
        <w:rPr>
          <w:rFonts w:ascii="Times New Roman" w:hAnsi="Times New Roman" w:cs="Times New Roman"/>
          <w:sz w:val="24"/>
        </w:rPr>
      </w:pPr>
    </w:p>
    <w:sectPr w:rsidR="00CE1FB9" w:rsidRPr="00372BB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C9E" w:rsidRDefault="006F4C9E" w:rsidP="00372BBF">
      <w:pPr>
        <w:spacing w:after="0" w:line="240" w:lineRule="auto"/>
      </w:pPr>
      <w:r>
        <w:separator/>
      </w:r>
    </w:p>
  </w:endnote>
  <w:endnote w:type="continuationSeparator" w:id="0">
    <w:p w:rsidR="006F4C9E" w:rsidRDefault="006F4C9E" w:rsidP="0037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BF" w:rsidRDefault="00372BBF" w:rsidP="00E717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2BBF" w:rsidRDefault="00372BBF" w:rsidP="00372B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BF" w:rsidRPr="00372BBF" w:rsidRDefault="00372BBF" w:rsidP="00E717D1">
    <w:pPr>
      <w:pStyle w:val="Altbilgi"/>
      <w:framePr w:wrap="around" w:vAnchor="text" w:hAnchor="margin" w:xAlign="right" w:y="1"/>
      <w:rPr>
        <w:rStyle w:val="SayfaNumaras"/>
        <w:rFonts w:ascii="Times New Roman" w:hAnsi="Times New Roman" w:cs="Times New Roman"/>
      </w:rPr>
    </w:pPr>
    <w:r w:rsidRPr="00372BBF">
      <w:rPr>
        <w:rStyle w:val="SayfaNumaras"/>
        <w:rFonts w:ascii="Times New Roman" w:hAnsi="Times New Roman" w:cs="Times New Roman"/>
      </w:rPr>
      <w:fldChar w:fldCharType="begin"/>
    </w:r>
    <w:r w:rsidRPr="00372BBF">
      <w:rPr>
        <w:rStyle w:val="SayfaNumaras"/>
        <w:rFonts w:ascii="Times New Roman" w:hAnsi="Times New Roman" w:cs="Times New Roman"/>
      </w:rPr>
      <w:instrText xml:space="preserve">PAGE  </w:instrText>
    </w:r>
    <w:r w:rsidRPr="00372B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2BBF">
      <w:rPr>
        <w:rStyle w:val="SayfaNumaras"/>
        <w:rFonts w:ascii="Times New Roman" w:hAnsi="Times New Roman" w:cs="Times New Roman"/>
      </w:rPr>
      <w:fldChar w:fldCharType="end"/>
    </w:r>
  </w:p>
  <w:p w:rsidR="00372BBF" w:rsidRPr="00372BBF" w:rsidRDefault="00372BBF" w:rsidP="00372B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C9E" w:rsidRDefault="006F4C9E" w:rsidP="00372BBF">
      <w:pPr>
        <w:spacing w:after="0" w:line="240" w:lineRule="auto"/>
      </w:pPr>
      <w:r>
        <w:separator/>
      </w:r>
    </w:p>
  </w:footnote>
  <w:footnote w:type="continuationSeparator" w:id="0">
    <w:p w:rsidR="006F4C9E" w:rsidRDefault="006F4C9E" w:rsidP="00372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BBF" w:rsidRPr="00FD10AD" w:rsidRDefault="00372BBF" w:rsidP="00372BB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D10AD">
      <w:rPr>
        <w:rFonts w:ascii="Times New Roman" w:eastAsia="Times New Roman" w:hAnsi="Times New Roman" w:cs="Times New Roman"/>
        <w:b/>
        <w:bCs/>
        <w:color w:val="000000"/>
        <w:sz w:val="24"/>
        <w:lang w:eastAsia="tr-TR"/>
      </w:rPr>
      <w:t xml:space="preserve">Esas </w:t>
    </w:r>
    <w:proofErr w:type="gramStart"/>
    <w:r w:rsidRPr="00FD10AD">
      <w:rPr>
        <w:rFonts w:ascii="Times New Roman" w:eastAsia="Times New Roman" w:hAnsi="Times New Roman" w:cs="Times New Roman"/>
        <w:b/>
        <w:bCs/>
        <w:color w:val="000000"/>
        <w:sz w:val="24"/>
        <w:lang w:eastAsia="tr-TR"/>
      </w:rPr>
      <w:t>Sayısı : 2013</w:t>
    </w:r>
    <w:proofErr w:type="gramEnd"/>
    <w:r w:rsidRPr="00FD10AD">
      <w:rPr>
        <w:rFonts w:ascii="Times New Roman" w:eastAsia="Times New Roman" w:hAnsi="Times New Roman" w:cs="Times New Roman"/>
        <w:b/>
        <w:bCs/>
        <w:color w:val="000000"/>
        <w:sz w:val="24"/>
        <w:lang w:eastAsia="tr-TR"/>
      </w:rPr>
      <w:t>/146</w:t>
    </w:r>
  </w:p>
  <w:p w:rsidR="00372BBF" w:rsidRPr="00FD10AD" w:rsidRDefault="00372BBF" w:rsidP="00372BBF">
    <w:pPr>
      <w:shd w:val="clear" w:color="auto" w:fill="FFFFFF"/>
      <w:spacing w:after="0" w:line="240" w:lineRule="auto"/>
      <w:jc w:val="both"/>
      <w:rPr>
        <w:rFonts w:ascii="Times New Roman" w:eastAsia="Times New Roman" w:hAnsi="Times New Roman" w:cs="Times New Roman"/>
        <w:b/>
        <w:bCs/>
        <w:color w:val="000000"/>
        <w:sz w:val="24"/>
        <w:lang w:eastAsia="tr-TR"/>
      </w:rPr>
    </w:pPr>
    <w:r w:rsidRPr="00FD10AD">
      <w:rPr>
        <w:rFonts w:ascii="Times New Roman" w:eastAsia="Times New Roman" w:hAnsi="Times New Roman" w:cs="Times New Roman"/>
        <w:b/>
        <w:bCs/>
        <w:color w:val="000000"/>
        <w:sz w:val="24"/>
        <w:lang w:eastAsia="tr-TR"/>
      </w:rPr>
      <w:t xml:space="preserve">Karar </w:t>
    </w:r>
    <w:proofErr w:type="gramStart"/>
    <w:r w:rsidRPr="00FD10AD">
      <w:rPr>
        <w:rFonts w:ascii="Times New Roman" w:eastAsia="Times New Roman" w:hAnsi="Times New Roman" w:cs="Times New Roman"/>
        <w:b/>
        <w:bCs/>
        <w:color w:val="000000"/>
        <w:sz w:val="24"/>
        <w:lang w:eastAsia="tr-TR"/>
      </w:rPr>
      <w:t>Sayısı : 2014</w:t>
    </w:r>
    <w:proofErr w:type="gramEnd"/>
    <w:r w:rsidRPr="00FD10AD">
      <w:rPr>
        <w:rFonts w:ascii="Times New Roman" w:eastAsia="Times New Roman" w:hAnsi="Times New Roman" w:cs="Times New Roman"/>
        <w:b/>
        <w:bCs/>
        <w:color w:val="000000"/>
        <w:sz w:val="24"/>
        <w:lang w:eastAsia="tr-TR"/>
      </w:rPr>
      <w:t>/137</w:t>
    </w:r>
  </w:p>
  <w:p w:rsidR="00372BBF" w:rsidRPr="00372BBF" w:rsidRDefault="00372BBF" w:rsidP="00372B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BBF"/>
    <w:rsid w:val="00372BBF"/>
    <w:rsid w:val="006F4C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C31B4-8F32-4273-A0DC-7C7A9709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372B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2B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72BBF"/>
  </w:style>
  <w:style w:type="paragraph" w:styleId="Altbilgi">
    <w:name w:val="footer"/>
    <w:basedOn w:val="Normal"/>
    <w:link w:val="AltbilgiChar"/>
    <w:uiPriority w:val="99"/>
    <w:unhideWhenUsed/>
    <w:rsid w:val="00372B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72BBF"/>
  </w:style>
  <w:style w:type="character" w:styleId="SayfaNumaras">
    <w:name w:val="page number"/>
    <w:basedOn w:val="VarsaylanParagrafYazTipi"/>
    <w:uiPriority w:val="99"/>
    <w:semiHidden/>
    <w:unhideWhenUsed/>
    <w:rsid w:val="0037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74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2019-02-18T11:58:00Z</dcterms:created>
  <dcterms:modified xsi:type="dcterms:W3CDTF">2019-02-18T12:03:00Z</dcterms:modified>
</cp:coreProperties>
</file>