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A2" w:rsidRP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61FA2">
        <w:rPr>
          <w:rFonts w:ascii="Times New Roman" w:eastAsia="Times New Roman" w:hAnsi="Times New Roman" w:cs="Times New Roman"/>
          <w:b/>
          <w:bCs/>
          <w:color w:val="000000"/>
          <w:sz w:val="24"/>
          <w:lang w:eastAsia="tr-TR"/>
        </w:rPr>
        <w:t>"...</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b/>
          <w:bCs/>
          <w:color w:val="000000"/>
          <w:sz w:val="24"/>
          <w:lang w:eastAsia="tr-TR"/>
        </w:rPr>
        <w:t>I- İPTAL VE YÜRÜRLÜĞÜN DURDURULMASI İSTEMİNİN GEREKÇESİ</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color w:val="000000"/>
          <w:sz w:val="24"/>
          <w:szCs w:val="19"/>
          <w:lang w:eastAsia="tr-TR"/>
        </w:rPr>
        <w:t>Dava dilekçesinin gerekçe bölümü şöyledir: </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''07.02.2013 Tarihli ve 6415 Sayılı 'Terörizmin Finansmanının Önlenmesi Hakkında Kanun'un 6 ncı Maddesinin (1) Numaralı Fıkrasının Birinci Cümlesindeki 'Bakanlar Kurulu tarafından karara bağlanır' İbaresinin Anayasaya Aykırılığı</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Birleşmiş Milletler tarafından 10 Ocak 2000 tarihinde imzaya açılan ve Türkiye Cumhuriyeti adına 27 Eylül 2001 tarihinde New York'ta imzalanan 'Terörizmin Finansmanının Önlenmesine Dair Uluslararası Sözleşme' 10.01.2002 tarihli ve 4738 sayılı Kanun ile bu Kanuna ekli beyanda bulunulmak suretiyle onaylanmıştır.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Terörizmin Finansmanının Önlenmesine Dair Uluslararası Sözleşme'nin 8 inci maddesinin (1) ve (2) numaralı fıkralarında;</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'1. Her Taraf Devlet, gerektiğinde müsadere edilebilmeleri amacıyla., 2. Maddede belirtilen suçların işlenmesi için kullanılan, veya kullanılması için oluşturulan fonların veya bu suçlardan temin edilen kazançların tespiti, bulunması, dondurulması, el konulması için iç hukuku uyarınca gerekli tedbirleri alır,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2. Her Taraf Devlet, 2. Maddede belirtilen suçların işlenmesinde kullanılan veya kullanılması için oluşturulan fonların veya bu suçlardan elde edilen kazançların müsadere edilebilmesi için iç hukuku uyarınca gerekli tedbirleri alır,'.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denilmiş ve taraf Devletlere bazı yükümlülükler getirilmiştir. 17.02.2013 Tarihli ve 6415 Sayılı 'Terörizmin Finansmanının Önlenmesi Hakkında Kanun' ile yapılan düzenlemelerde, bu yükümlülüklerin yerine getirilmesi için yapılan ve taraf olduğumuz bu sözleşmenin 2 nci maddesinde sayılan suçların işlenmesi için oluşturulan fonların, temin edilen kazançların tespiti, bulunması, dondurulması, el konulmasına yönelik düzenlemelerdir. Ancak İptali istenilen ibare ile mal varlığına el koyma, mal varlığını dondurma gibi, mülkiyet hakkının kullanımını engelleyen tedbir niteliğinde bir tasarrufun Bakanlar Kurulu kararı ile diğer bir anlatımla idari bir tasarrufla yerine getirilmesi öngörülmüştür.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Terörizmin Finansmanının Önlenmesine Dair Uluslararası Sözleşme, sözkonusu tedbirler alınırken 'iç hukuku uyarınca gerekli tedbirleri alır' denilmek suretiyle taraf Devletlere yöntemin belirlenmesinde takdir hakkı tanınmıştır. Bu nedenle, mal varlığına el koyma, mal varlığını dondurma gibi, mülkiyet hakkının kullanımını engelleyen bir tasarrufta, iç hukuka ve Anayasaya uygunluğun aranması gerektiği açıktır.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Anayasanın 35 inci maddesinde düzenlenen mülkiyet hakkı temel hak ve özgürlüklerdendir.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Anayasanın temel hak ve özgürlüklerin sınırlanmasına ilişkin 13 üncü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lastRenderedPageBreak/>
        <w:t>Anayasanın 35 inci ve AİHS 1 Nolu Ek Protokolünün 1 inci maddesinde sınırları belirtilmek suretiyle güvence altına alınan mülkiyet hakkına sınırlama getirilmesi durumunda getirilen sınırlamanın hakkın özüne dokunmaması, demokratik ve çağdaş hukuk devletinin gereklerine uygun olması gerekmektedir.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Anayasanın 2 nci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yasakoyucunun da bozamayacağı temel hukuk ilkeleri bulunduğu bilincinde olan devlettir.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Anayasamız Millet egemenliğini öngören Cumhuriyet rejimini kabul etmiş ve teminatı bakımından, güçlerin ayrılığı ilkesi ile, yasama, yürütme ve yargı yetkileri olmak üzere üç temel kurulu benimsemiştir. Anayasanın 7 nci maddesinde, yargı yetkisi, Türk Milleti adına, bağımsız mahkemelerce kullanılır temel kuralı yer almıştır.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 Bu nedenle mal varlığına el koyma, mal varlığını dondurma gibi, mülkiyet hakkının kullanımını engelleyen bir tasarrufun idari bir kararla değil, demokratik ve çağdaş hukuk devletinin gereklerine uygun olması için yargı kararı ile olması gerekir.</w:t>
      </w:r>
    </w:p>
    <w:p w:rsidR="00961FA2" w:rsidRP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Açıklanan nedenlerle iptali istenen ibare, demokratik ve çağdaş hukuk devletinin gereklerine aykırı bir düzenleme olduğundan Anayasanın 2 nci maddesine aykırıdır.         </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6415 Sayılı 'Terörizmin Finansmanının Önlenmesi Hakkında Kanun'un 6 ncı maddesinde, bir yabancı devlet hükûmeti tarafından bir kişi, kuruluş veya organizasyonun tasarrufunda bulunan malvarlığının dondurulmasına ilişkin olarak Türkiye'den talepte bulunulması hâlinde, bu talebin Değerlendirme Komisyonunca değerlendirildikten sonra Bakanlar Kurulu tarafından karara bağlanacağı öngörülmüştür.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Buna karşın Yasa'nın 7 nci maddesinde, Değerlendirme Komisyonunun, yabancı devlet hükûmetinin talebi olmaksızın 3 üncü ve 4 üncü madde kapsamına giren fiilleri (Fon sağlanması veya toplanması yasak fiilleri, terörizmin finansmanı suçunu) işleyenlerin Türkiye'de bulunan malvarlığıyla bağlantılı olarak ilgililer hakkında 4/12/2004 tarihli ve 5271 sayılı Ceza Muhakemesi Kanunu uyarınca soruşturma açılması talebiyle suç duyurusunda bulunulmasına karar verebileceği yani işlenen suçla ilgili soruşturmanın Ceza Muhakemesi Kanunu uyarınca yapılacağı ve dolayısıyla Türkiye'de bulunan mal varlığının dondurulmasının da yargı kararı ile olacağı hükme bağlanmıştır.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Yasama organı Anayasanın 35 ve AİHS 1 Nolu Ek Protokolünün 1 inci maddesinde yetkiden yola çıkarak, iptali istenilen kural ile mülkiyet hakkına kısıtlama getirmiş bulunmaktadır. Ancak yasama organı bu kısıtlamayı getirirken Anayasanın diğer hükümlerini göz ardı etmemelidir. Mülkiyet hakkına kısıtlama getirilirken, toplumdaki bazı kişilere diğer kişilere oranla daha fazla hak ve imkan getirilmesi, 'eşitlik' kurallarını zedeleyecektir.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lastRenderedPageBreak/>
        <w:t>6415 Sayılı 'Terörizmin Finansmanının Önlenmesi Hakkında Kanun'da öngörülen fiilleri işleyenlerin hukuksal durumlarının aynı olduğu çok açıktır.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Anayasanın 10 uncu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İptali istenilen ibare 'kanun önünde eşitlik ilkesi'ni zedelediğinden Anayasanın 10 uncu maddesine de aykırıdır.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 1987/28, K. 1988/16 sayılı kararı, AMKD., sa.24, shf. 225). Bu nedenle de iptali istenilen ibare Anayasanın 2 nci ve 11 inci maddelerine de aykırıdır.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Açıklanan nedenlerle 07.02.2013 Tarihli ve 6415 Sayılı 'Terörizmin Finansmanının Önlenmesi Hakkında Kanun'un 6 ncı maddesinin (1) Numaralı Fıkrasının Birinci Cümlesindeki 'Bakanlar Kurulu tarafından karara bağlanır' İbaresi Anayasanın 2 nci, 10 uncu ve 11 inci maddelerine aykırı olup, iptali gerekmektedir.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III. YÜRÜRLÜĞÜ DURDURMA İSTEMİNİN GEREKÇESİ</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Mülkiyet hakkına kısıtlama getirilirken, toplumdaki bazı kişilerin hak ve imkanlarını diğer kişilere oranla daha fazla kısıtlayan, demokratik ve çağdaş hukuk devletinin gereklerine aykırı bir kuralın uygulanması halinde sonradan giderilmesi olanaksız durum ve zararların doğacağı kuşkusuzdur.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IV. SONUÇ VE İSTEM</w:t>
      </w:r>
    </w:p>
    <w:p w:rsidR="00CE1FB9" w:rsidRPr="00961FA2" w:rsidRDefault="00961FA2" w:rsidP="00961FA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1FA2">
        <w:rPr>
          <w:rFonts w:ascii="Times New Roman" w:eastAsia="Times New Roman" w:hAnsi="Times New Roman" w:cs="Times New Roman"/>
          <w:i/>
          <w:iCs/>
          <w:color w:val="000000"/>
          <w:sz w:val="24"/>
          <w:szCs w:val="19"/>
          <w:lang w:eastAsia="tr-TR"/>
        </w:rPr>
        <w:t>07.02.2013 tarihli ve 6415 sayılı 'Terörizmin Finansmanının Önlenmesi Hakkında Kanun'un 6 ncı maddesinin (1) numaralı fıkrasının birinci cümlesindeki 'Bakanlar Kurulu tarafından karara bağlanır' ibaresinin Anayasanın 2 nci, 10 uncu ve 11 inci maddelerine aykırı olduğundan iptaline ve uygulanması halinde giderilmesi güç ya da olanaksız zarar ve durumlar doğacağı için, iptal davası sonuçlanıncaya kadar yürürlüğünün durdurulmasına karar verilmesine ilişkin istemimizi saygı ile arz ederiz.'"</w:t>
      </w:r>
    </w:p>
    <w:sectPr w:rsidR="00CE1FB9" w:rsidRPr="00961F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DF" w:rsidRDefault="00301DDF" w:rsidP="00961FA2">
      <w:pPr>
        <w:spacing w:after="0" w:line="240" w:lineRule="auto"/>
      </w:pPr>
      <w:r>
        <w:separator/>
      </w:r>
    </w:p>
  </w:endnote>
  <w:endnote w:type="continuationSeparator" w:id="0">
    <w:p w:rsidR="00301DDF" w:rsidRDefault="00301DDF" w:rsidP="0096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A2" w:rsidRDefault="00961FA2" w:rsidP="00B530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1FA2" w:rsidRDefault="00961FA2" w:rsidP="00961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A2" w:rsidRPr="00961FA2" w:rsidRDefault="00961FA2" w:rsidP="00B5301F">
    <w:pPr>
      <w:pStyle w:val="Altbilgi"/>
      <w:framePr w:wrap="around" w:vAnchor="text" w:hAnchor="margin" w:xAlign="right" w:y="1"/>
      <w:rPr>
        <w:rStyle w:val="SayfaNumaras"/>
        <w:rFonts w:ascii="Times New Roman" w:hAnsi="Times New Roman" w:cs="Times New Roman"/>
      </w:rPr>
    </w:pPr>
    <w:r w:rsidRPr="00961FA2">
      <w:rPr>
        <w:rStyle w:val="SayfaNumaras"/>
        <w:rFonts w:ascii="Times New Roman" w:hAnsi="Times New Roman" w:cs="Times New Roman"/>
      </w:rPr>
      <w:fldChar w:fldCharType="begin"/>
    </w:r>
    <w:r w:rsidRPr="00961FA2">
      <w:rPr>
        <w:rStyle w:val="SayfaNumaras"/>
        <w:rFonts w:ascii="Times New Roman" w:hAnsi="Times New Roman" w:cs="Times New Roman"/>
      </w:rPr>
      <w:instrText xml:space="preserve">PAGE  </w:instrText>
    </w:r>
    <w:r w:rsidRPr="00961F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1FA2">
      <w:rPr>
        <w:rStyle w:val="SayfaNumaras"/>
        <w:rFonts w:ascii="Times New Roman" w:hAnsi="Times New Roman" w:cs="Times New Roman"/>
      </w:rPr>
      <w:fldChar w:fldCharType="end"/>
    </w:r>
  </w:p>
  <w:p w:rsidR="00961FA2" w:rsidRPr="00961FA2" w:rsidRDefault="00961FA2" w:rsidP="00961F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DF" w:rsidRDefault="00301DDF" w:rsidP="00961FA2">
      <w:pPr>
        <w:spacing w:after="0" w:line="240" w:lineRule="auto"/>
      </w:pPr>
      <w:r>
        <w:separator/>
      </w:r>
    </w:p>
  </w:footnote>
  <w:footnote w:type="continuationSeparator" w:id="0">
    <w:p w:rsidR="00301DDF" w:rsidRDefault="00301DDF" w:rsidP="00961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A2" w:rsidRPr="001E75C1" w:rsidRDefault="00961FA2" w:rsidP="00961FA2">
    <w:pPr>
      <w:shd w:val="clear" w:color="auto" w:fill="FFFFFF"/>
      <w:spacing w:after="0" w:line="240" w:lineRule="auto"/>
      <w:jc w:val="both"/>
      <w:rPr>
        <w:rFonts w:ascii="Times New Roman" w:eastAsia="Times New Roman" w:hAnsi="Times New Roman" w:cs="Times New Roman"/>
        <w:b/>
        <w:bCs/>
        <w:color w:val="000000"/>
        <w:sz w:val="24"/>
        <w:lang w:eastAsia="tr-TR"/>
      </w:rPr>
    </w:pPr>
    <w:r w:rsidRPr="001E75C1">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xml:space="preserve">: 2013/45 </w:t>
    </w:r>
  </w:p>
  <w:p w:rsidR="00961FA2" w:rsidRPr="001E75C1" w:rsidRDefault="00961FA2" w:rsidP="00961FA2">
    <w:pPr>
      <w:shd w:val="clear" w:color="auto" w:fill="FFFFFF"/>
      <w:spacing w:after="0" w:line="240" w:lineRule="auto"/>
      <w:jc w:val="both"/>
      <w:rPr>
        <w:rFonts w:ascii="Times New Roman" w:eastAsia="Times New Roman" w:hAnsi="Times New Roman" w:cs="Times New Roman"/>
        <w:b/>
        <w:bCs/>
        <w:color w:val="000000"/>
        <w:sz w:val="24"/>
        <w:lang w:eastAsia="tr-TR"/>
      </w:rPr>
    </w:pPr>
    <w:r w:rsidRPr="001E75C1">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1E75C1">
      <w:rPr>
        <w:rFonts w:ascii="Times New Roman" w:eastAsia="Times New Roman" w:hAnsi="Times New Roman" w:cs="Times New Roman"/>
        <w:b/>
        <w:bCs/>
        <w:color w:val="000000"/>
        <w:sz w:val="24"/>
        <w:lang w:eastAsia="tr-TR"/>
      </w:rPr>
      <w:t>: 2013/113</w:t>
    </w:r>
  </w:p>
  <w:p w:rsidR="00961FA2" w:rsidRPr="00961FA2" w:rsidRDefault="00961FA2" w:rsidP="00961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A2"/>
    <w:rsid w:val="00301DDF"/>
    <w:rsid w:val="00961F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938C-BAAE-479C-AB0C-D5836DB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1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FA2"/>
  </w:style>
  <w:style w:type="paragraph" w:styleId="Altbilgi">
    <w:name w:val="footer"/>
    <w:basedOn w:val="Normal"/>
    <w:link w:val="AltbilgiChar"/>
    <w:uiPriority w:val="99"/>
    <w:unhideWhenUsed/>
    <w:rsid w:val="00961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FA2"/>
  </w:style>
  <w:style w:type="character" w:styleId="SayfaNumaras">
    <w:name w:val="page number"/>
    <w:basedOn w:val="VarsaylanParagrafYazTipi"/>
    <w:uiPriority w:val="99"/>
    <w:semiHidden/>
    <w:unhideWhenUsed/>
    <w:rsid w:val="0096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2019-02-12T12:51:00Z</dcterms:created>
  <dcterms:modified xsi:type="dcterms:W3CDTF">2019-02-12T12:52:00Z</dcterms:modified>
</cp:coreProperties>
</file>