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9C" w:rsidRPr="004F719C" w:rsidRDefault="004F719C" w:rsidP="004F719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4F719C">
        <w:rPr>
          <w:rFonts w:ascii="Times New Roman" w:eastAsia="Times New Roman" w:hAnsi="Times New Roman" w:cs="Times New Roman"/>
          <w:b/>
          <w:bCs/>
          <w:color w:val="000000"/>
          <w:sz w:val="24"/>
          <w:lang w:eastAsia="tr-TR"/>
        </w:rPr>
        <w:t>"...</w:t>
      </w:r>
    </w:p>
    <w:p w:rsidR="004F719C" w:rsidRDefault="004F719C" w:rsidP="004F71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719C">
        <w:rPr>
          <w:rFonts w:ascii="Times New Roman" w:eastAsia="Times New Roman" w:hAnsi="Times New Roman" w:cs="Times New Roman"/>
          <w:b/>
          <w:bCs/>
          <w:color w:val="000000"/>
          <w:sz w:val="24"/>
          <w:lang w:eastAsia="tr-TR"/>
        </w:rPr>
        <w:t>II- İTİRAZIN GEREKÇESİ </w:t>
      </w:r>
    </w:p>
    <w:p w:rsidR="004F719C" w:rsidRDefault="004F719C" w:rsidP="004F71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719C">
        <w:rPr>
          <w:rFonts w:ascii="Times New Roman" w:eastAsia="Times New Roman" w:hAnsi="Times New Roman" w:cs="Times New Roman"/>
          <w:color w:val="000000"/>
          <w:sz w:val="24"/>
          <w:szCs w:val="19"/>
          <w:lang w:eastAsia="tr-TR"/>
        </w:rPr>
        <w:t>Başvuru kararının gerekçe bölümü şöyledir:</w:t>
      </w:r>
    </w:p>
    <w:p w:rsidR="004F719C" w:rsidRPr="004F719C" w:rsidRDefault="004F719C" w:rsidP="004F71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4F719C">
        <w:rPr>
          <w:rFonts w:ascii="Times New Roman" w:eastAsia="Times New Roman" w:hAnsi="Times New Roman" w:cs="Times New Roman"/>
          <w:color w:val="000000"/>
          <w:sz w:val="24"/>
          <w:szCs w:val="19"/>
          <w:lang w:eastAsia="tr-TR"/>
        </w:rPr>
        <w:t>'</w:t>
      </w:r>
      <w:r w:rsidRPr="004F719C">
        <w:rPr>
          <w:rFonts w:ascii="Times New Roman" w:eastAsia="Times New Roman" w:hAnsi="Times New Roman" w:cs="Times New Roman"/>
          <w:i/>
          <w:iCs/>
          <w:color w:val="000000"/>
          <w:sz w:val="24"/>
          <w:szCs w:val="19"/>
          <w:lang w:eastAsia="tr-TR"/>
        </w:rPr>
        <w:t>Türkiye Cumhuriyeti Anayasasının 35. maddesinin yorumlanmasında herkesin mülkiyet hakkına sahip olduğu ve bu hakkın ancak kamu yararı amacıyla kanunla sınırlanacağı düzenlenmiştir. 3083 sayılı Yasanın 13. maddesinde mülkiyet hakkına getirilen kısıtlama ise kamu yararından ziyade idarenin yararını esas alır niteliktedir. Zira bir bölgede toplulaştırma çalışmalarının yapılması nedeniyle bireye taşınmazını satamazsın veya bir taşınmaz hakkında bu çalışmaların sonuna kadar dava açamazsın demek mülkiyet hakkının içeriği ile bağdaşmamaktadır. Kaldı ki toplulaştırma çalışmalarına rağmen bireyin arazini satması veya dava yolu ile bunu ileri sürmesi toplulaştırma çalışmalarına da engel değildir. Taşınmaz el değiştirse bile yapılan toplulaştırma çalışmalarına bir etkisi olmayacaktır. Zira bu durumda toplulaştırma çalışmaları neticesinde oluşan yeni duruma yeni malik katlanmak durumunda kalacaktır. Kaldı ki görülmekte olan dava taşınmazdaki payın toplulaştırma çalışmalarına rağmen bir başka kişiye satılması üzerine açılan ön alım davasıdır. Ayrıca madde kendi içinde de çelişkili niteliktedir. Zira maddenin birinci fıkrasında bu arazilerin ipotek edilemeyeceği belirtilmesine rağmen üçüncü fıkrasında bu gibi arazilerin Tarım Kredi Kooperatifleri ve bankalara ipotek edilebileceği belirtilmektedir. Yine maddede öngörülen kısıtlamalar gerçek kişiler ile özel hukuk tüzel kişileri için öngörülmesine rağmen kamu tüzelkişileri için öngörülmemiştir. Açıklanan bu nedenle 3083 sayılı Yasanın 13. maddesinin Türkiye Cumhuriyeti Anayasasının mülkiyet hakkını düzenleyen 35. maddesine aykırı olduğu düşünüldüğünden mahkemenizce de aynı kanaate varılması durumunda 3083 sayılı Yasanın 13. maddesinin iptaline karar verilmesi arz olunur.</w:t>
      </w:r>
      <w:r w:rsidRPr="004F719C">
        <w:rPr>
          <w:rFonts w:ascii="Times New Roman" w:eastAsia="Times New Roman" w:hAnsi="Times New Roman" w:cs="Times New Roman"/>
          <w:color w:val="000000"/>
          <w:sz w:val="24"/>
          <w:szCs w:val="19"/>
          <w:lang w:eastAsia="tr-TR"/>
        </w:rPr>
        <w:t>'"</w:t>
      </w:r>
    </w:p>
    <w:p w:rsidR="00CE1FB9" w:rsidRPr="004F719C" w:rsidRDefault="00CE1FB9" w:rsidP="004F719C">
      <w:pPr>
        <w:spacing w:before="100" w:beforeAutospacing="1" w:after="100" w:afterAutospacing="1" w:line="240" w:lineRule="auto"/>
        <w:ind w:firstLine="709"/>
        <w:jc w:val="both"/>
        <w:rPr>
          <w:rFonts w:ascii="Times New Roman" w:hAnsi="Times New Roman" w:cs="Times New Roman"/>
          <w:sz w:val="24"/>
        </w:rPr>
      </w:pPr>
    </w:p>
    <w:sectPr w:rsidR="00CE1FB9" w:rsidRPr="004F719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139" w:rsidRDefault="00281139" w:rsidP="004F719C">
      <w:pPr>
        <w:spacing w:after="0" w:line="240" w:lineRule="auto"/>
      </w:pPr>
      <w:r>
        <w:separator/>
      </w:r>
    </w:p>
  </w:endnote>
  <w:endnote w:type="continuationSeparator" w:id="0">
    <w:p w:rsidR="00281139" w:rsidRDefault="00281139" w:rsidP="004F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C" w:rsidRDefault="004F719C" w:rsidP="002352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F719C" w:rsidRDefault="004F719C" w:rsidP="004F71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C" w:rsidRPr="004F719C" w:rsidRDefault="004F719C" w:rsidP="00235229">
    <w:pPr>
      <w:pStyle w:val="Altbilgi"/>
      <w:framePr w:wrap="around" w:vAnchor="text" w:hAnchor="margin" w:xAlign="right" w:y="1"/>
      <w:rPr>
        <w:rStyle w:val="SayfaNumaras"/>
        <w:rFonts w:ascii="Times New Roman" w:hAnsi="Times New Roman" w:cs="Times New Roman"/>
      </w:rPr>
    </w:pPr>
    <w:r w:rsidRPr="004F719C">
      <w:rPr>
        <w:rStyle w:val="SayfaNumaras"/>
        <w:rFonts w:ascii="Times New Roman" w:hAnsi="Times New Roman" w:cs="Times New Roman"/>
      </w:rPr>
      <w:fldChar w:fldCharType="begin"/>
    </w:r>
    <w:r w:rsidRPr="004F719C">
      <w:rPr>
        <w:rStyle w:val="SayfaNumaras"/>
        <w:rFonts w:ascii="Times New Roman" w:hAnsi="Times New Roman" w:cs="Times New Roman"/>
      </w:rPr>
      <w:instrText xml:space="preserve">PAGE  </w:instrText>
    </w:r>
    <w:r w:rsidRPr="004F719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F719C">
      <w:rPr>
        <w:rStyle w:val="SayfaNumaras"/>
        <w:rFonts w:ascii="Times New Roman" w:hAnsi="Times New Roman" w:cs="Times New Roman"/>
      </w:rPr>
      <w:fldChar w:fldCharType="end"/>
    </w:r>
  </w:p>
  <w:p w:rsidR="004F719C" w:rsidRPr="004F719C" w:rsidRDefault="004F719C" w:rsidP="004F719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139" w:rsidRDefault="00281139" w:rsidP="004F719C">
      <w:pPr>
        <w:spacing w:after="0" w:line="240" w:lineRule="auto"/>
      </w:pPr>
      <w:r>
        <w:separator/>
      </w:r>
    </w:p>
  </w:footnote>
  <w:footnote w:type="continuationSeparator" w:id="0">
    <w:p w:rsidR="00281139" w:rsidRDefault="00281139" w:rsidP="004F7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9C" w:rsidRPr="00DB69D8" w:rsidRDefault="004F719C" w:rsidP="004F719C">
    <w:pPr>
      <w:shd w:val="clear" w:color="auto" w:fill="FFFFFF"/>
      <w:spacing w:after="0" w:line="240" w:lineRule="auto"/>
      <w:jc w:val="both"/>
      <w:rPr>
        <w:rFonts w:ascii="Times New Roman" w:eastAsia="Times New Roman" w:hAnsi="Times New Roman" w:cs="Times New Roman"/>
        <w:b/>
        <w:bCs/>
        <w:sz w:val="24"/>
        <w:lang w:eastAsia="tr-TR"/>
      </w:rPr>
    </w:pPr>
    <w:r>
      <w:rPr>
        <w:rFonts w:ascii="Times New Roman" w:eastAsia="Times New Roman" w:hAnsi="Times New Roman" w:cs="Times New Roman"/>
        <w:b/>
        <w:bCs/>
        <w:sz w:val="24"/>
        <w:lang w:eastAsia="tr-TR"/>
      </w:rPr>
      <w:t xml:space="preserve">Esas </w:t>
    </w:r>
    <w:proofErr w:type="gramStart"/>
    <w:r>
      <w:rPr>
        <w:rFonts w:ascii="Times New Roman" w:eastAsia="Times New Roman" w:hAnsi="Times New Roman" w:cs="Times New Roman"/>
        <w:b/>
        <w:bCs/>
        <w:sz w:val="24"/>
        <w:lang w:eastAsia="tr-TR"/>
      </w:rPr>
      <w:t>Sayısı</w:t>
    </w:r>
    <w:r w:rsidRPr="00DB69D8">
      <w:rPr>
        <w:rFonts w:ascii="Times New Roman" w:eastAsia="Times New Roman" w:hAnsi="Times New Roman" w:cs="Times New Roman"/>
        <w:b/>
        <w:bCs/>
        <w:sz w:val="24"/>
        <w:lang w:eastAsia="tr-TR"/>
      </w:rPr>
      <w:t xml:space="preserve"> : 2013</w:t>
    </w:r>
    <w:proofErr w:type="gramEnd"/>
    <w:r w:rsidRPr="00DB69D8">
      <w:rPr>
        <w:rFonts w:ascii="Times New Roman" w:eastAsia="Times New Roman" w:hAnsi="Times New Roman" w:cs="Times New Roman"/>
        <w:b/>
        <w:bCs/>
        <w:sz w:val="24"/>
        <w:lang w:eastAsia="tr-TR"/>
      </w:rPr>
      <w:t xml:space="preserve">/60 </w:t>
    </w:r>
  </w:p>
  <w:p w:rsidR="004F719C" w:rsidRPr="00DB69D8" w:rsidRDefault="004F719C" w:rsidP="004F719C">
    <w:pPr>
      <w:shd w:val="clear" w:color="auto" w:fill="FFFFFF"/>
      <w:spacing w:after="0" w:line="240" w:lineRule="auto"/>
      <w:jc w:val="both"/>
      <w:rPr>
        <w:rFonts w:ascii="Times New Roman" w:eastAsia="Times New Roman" w:hAnsi="Times New Roman" w:cs="Times New Roman"/>
        <w:b/>
        <w:bCs/>
        <w:sz w:val="24"/>
        <w:lang w:eastAsia="tr-TR"/>
      </w:rPr>
    </w:pPr>
    <w:r w:rsidRPr="00DB69D8">
      <w:rPr>
        <w:rFonts w:ascii="Times New Roman" w:eastAsia="Times New Roman" w:hAnsi="Times New Roman" w:cs="Times New Roman"/>
        <w:b/>
        <w:bCs/>
        <w:sz w:val="24"/>
        <w:lang w:eastAsia="tr-TR"/>
      </w:rPr>
      <w:t xml:space="preserve">Karar </w:t>
    </w:r>
    <w:proofErr w:type="gramStart"/>
    <w:r w:rsidRPr="00DB69D8">
      <w:rPr>
        <w:rFonts w:ascii="Times New Roman" w:eastAsia="Times New Roman" w:hAnsi="Times New Roman" w:cs="Times New Roman"/>
        <w:b/>
        <w:bCs/>
        <w:sz w:val="24"/>
        <w:lang w:eastAsia="tr-TR"/>
      </w:rPr>
      <w:t>Sayısı : 2013</w:t>
    </w:r>
    <w:proofErr w:type="gramEnd"/>
    <w:r w:rsidRPr="00DB69D8">
      <w:rPr>
        <w:rFonts w:ascii="Times New Roman" w:eastAsia="Times New Roman" w:hAnsi="Times New Roman" w:cs="Times New Roman"/>
        <w:b/>
        <w:bCs/>
        <w:sz w:val="24"/>
        <w:lang w:eastAsia="tr-TR"/>
      </w:rPr>
      <w:t xml:space="preserve">/104 </w:t>
    </w:r>
  </w:p>
  <w:p w:rsidR="004F719C" w:rsidRPr="004F719C" w:rsidRDefault="004F719C" w:rsidP="004F71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9C"/>
    <w:rsid w:val="00281139"/>
    <w:rsid w:val="004F719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9D002-6A94-42BB-AA6B-08412BA2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F71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F71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719C"/>
  </w:style>
  <w:style w:type="paragraph" w:styleId="Altbilgi">
    <w:name w:val="footer"/>
    <w:basedOn w:val="Normal"/>
    <w:link w:val="AltbilgiChar"/>
    <w:uiPriority w:val="99"/>
    <w:unhideWhenUsed/>
    <w:rsid w:val="004F71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719C"/>
  </w:style>
  <w:style w:type="character" w:styleId="SayfaNumaras">
    <w:name w:val="page number"/>
    <w:basedOn w:val="VarsaylanParagrafYazTipi"/>
    <w:uiPriority w:val="99"/>
    <w:semiHidden/>
    <w:unhideWhenUsed/>
    <w:rsid w:val="004F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32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2019-02-12T11:08:00Z</dcterms:created>
  <dcterms:modified xsi:type="dcterms:W3CDTF">2019-02-12T11:09:00Z</dcterms:modified>
</cp:coreProperties>
</file>