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8C8" w:rsidRPr="004468C8" w:rsidRDefault="004468C8" w:rsidP="004468C8">
      <w:pPr>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4468C8">
        <w:rPr>
          <w:rFonts w:ascii="Times New Roman" w:eastAsia="Times New Roman" w:hAnsi="Times New Roman" w:cs="Times New Roman"/>
          <w:b/>
          <w:bCs/>
          <w:caps/>
          <w:color w:val="000000"/>
          <w:sz w:val="24"/>
          <w:szCs w:val="26"/>
          <w:lang w:eastAsia="tr-TR"/>
        </w:rPr>
        <w:t>"...</w:t>
      </w:r>
    </w:p>
    <w:p w:rsidR="004468C8" w:rsidRDefault="004468C8" w:rsidP="004468C8">
      <w:pPr>
        <w:spacing w:before="100" w:beforeAutospacing="1" w:after="100" w:afterAutospacing="1" w:line="240" w:lineRule="auto"/>
        <w:ind w:firstLine="709"/>
        <w:jc w:val="both"/>
        <w:rPr>
          <w:rFonts w:ascii="Times New Roman" w:eastAsia="Times New Roman" w:hAnsi="Times New Roman" w:cs="Times New Roman"/>
          <w:b/>
          <w:bCs/>
          <w:caps/>
          <w:color w:val="000000"/>
          <w:sz w:val="24"/>
          <w:szCs w:val="26"/>
          <w:lang w:eastAsia="tr-TR"/>
        </w:rPr>
      </w:pPr>
      <w:r w:rsidRPr="004468C8">
        <w:rPr>
          <w:rFonts w:ascii="Times New Roman" w:eastAsia="Times New Roman" w:hAnsi="Times New Roman" w:cs="Times New Roman"/>
          <w:b/>
          <w:bCs/>
          <w:caps/>
          <w:color w:val="000000"/>
          <w:sz w:val="24"/>
          <w:szCs w:val="26"/>
          <w:lang w:eastAsia="tr-TR"/>
        </w:rPr>
        <w:t>II- İTİRAZLARIN GEREKÇESİ</w:t>
      </w:r>
      <w:bookmarkStart w:id="0" w:name="_GoBack"/>
      <w:bookmarkEnd w:id="0"/>
    </w:p>
    <w:p w:rsidR="004468C8" w:rsidRDefault="004468C8" w:rsidP="004468C8">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468C8">
        <w:rPr>
          <w:rFonts w:ascii="Times New Roman" w:eastAsia="Times New Roman" w:hAnsi="Times New Roman" w:cs="Times New Roman"/>
          <w:color w:val="000000"/>
          <w:sz w:val="24"/>
          <w:szCs w:val="26"/>
          <w:lang w:eastAsia="tr-TR"/>
        </w:rPr>
        <w:t>İtiraz başvurularının ortak gerekçesi şöyledir:</w:t>
      </w:r>
    </w:p>
    <w:p w:rsidR="004468C8" w:rsidRDefault="004468C8" w:rsidP="004468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468C8">
        <w:rPr>
          <w:rFonts w:ascii="Times New Roman" w:eastAsia="Times New Roman" w:hAnsi="Times New Roman" w:cs="Times New Roman"/>
          <w:color w:val="000000"/>
          <w:sz w:val="24"/>
          <w:szCs w:val="26"/>
          <w:lang w:eastAsia="tr-TR"/>
        </w:rPr>
        <w:t>'Anayasa'nın 2'nci maddesinde belirtilen hukuk devleti, her türlü işlem ve eylemi hukuka uygun, her alanda adaletli bir hukuk düzeni kurmayı amaçlayan ve bunu geliştirerek sürdüren, hukuku tüm devlet organlarına egemen kılan, Anayasaya aykırı durum ve tutumlardan kaçınan, insan haklarına dayanan, bu hak ve özgürlükleri koruyup güçlendiren devlettir.</w:t>
      </w:r>
    </w:p>
    <w:p w:rsidR="004468C8" w:rsidRDefault="004468C8" w:rsidP="004468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468C8">
        <w:rPr>
          <w:rFonts w:ascii="Times New Roman" w:eastAsia="Times New Roman" w:hAnsi="Times New Roman" w:cs="Times New Roman"/>
          <w:color w:val="000000"/>
          <w:sz w:val="24"/>
          <w:szCs w:val="26"/>
          <w:lang w:eastAsia="tr-TR"/>
        </w:rPr>
        <w:t>Öte yandan 'hukuk devleti' ilkesi, yürütme organının faaliyetlerinin yönetilenlerce belli ölçüde öngörülebilir olmasını, herkesin bağlı olacağı hukuk kurallarını önceden bilmesini, ekonomik ve sosyal yaşamlarındaki tutum ve davranışlarını buna göre düzene sokabilmesini gerektirir. Zira hukuk devletinin gereği olan belirlilik ve hukuki güvenlik ilkesi, idarenin keyfi hareket etmesini engeller. Bunu gerçekleştirmenin başlıca yolu ise kural konulmasını gerektiren durumlarda bunların genel, soyut, anlaşılabilir ve sınırlarının belirli olmasını sağlamaktır.</w:t>
      </w:r>
    </w:p>
    <w:p w:rsidR="004468C8" w:rsidRDefault="004468C8" w:rsidP="004468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468C8">
        <w:rPr>
          <w:rFonts w:ascii="Times New Roman" w:eastAsia="Times New Roman" w:hAnsi="Times New Roman" w:cs="Times New Roman"/>
          <w:color w:val="000000"/>
          <w:sz w:val="24"/>
          <w:szCs w:val="26"/>
          <w:lang w:eastAsia="tr-TR"/>
        </w:rPr>
        <w:t>Davada uygulanacak kural olan 926 sayılı Kanunun Ek 17'nci maddesinin (Ç) fıkrasının 1'inci bendinde yer alan tablo tazminat miktarlarını belirleyen kuraldır. Bu kuralda ödeme yapılacak çalışanların statülerine göre bu kişilere yapılacak ödemelerin tavan oranları ayrıntılı olarak düzenlemiş, ancak yürütmeye bırakılan yetkinin sınırlarının belirlenmesi açısından yapılacak ödemelerde herhangi bir taban oranı belirlememiştir. Yürütmeye bırakılan yetkinin üst sınırı ve çerçevesi belirlenirken alt sınırının belirlenmemiş olması, kuralda belirtilen personelin alacakları sağlık hizmetleri tazminatlarında asgari bir garanti içermemektedir. Bu nedenle dava konusu kural, devletin tüm işlem ve eylemlerine bireylerin güven duymasını zedeleyici nitelik taşıdığından hukuk devletinin gereği olan hukuki güvenlik ilkesine aykırılık oluşturmaktadır.</w:t>
      </w:r>
    </w:p>
    <w:p w:rsidR="004468C8" w:rsidRDefault="004468C8" w:rsidP="004468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468C8">
        <w:rPr>
          <w:rFonts w:ascii="Times New Roman" w:eastAsia="Times New Roman" w:hAnsi="Times New Roman" w:cs="Times New Roman"/>
          <w:color w:val="000000"/>
          <w:sz w:val="24"/>
          <w:szCs w:val="26"/>
          <w:lang w:eastAsia="tr-TR"/>
        </w:rPr>
        <w:t>Anayasa'nın 128'inci maddesinin ikinci fıkrasına göre, kamu personelinin özlük haklarına ilişkin esasların kanunla düzenlenmesi gerekmektedir. Kanunla düzenlenmesi öngörülen konularda yürütme organına, genel, sınırsız, esasları ve çerçevesi belirsiz bir düzenleme yetkisi verilemez. Ancak kanunda temel esaslar belirlenerek çerçevenin çizilmiş olması koşuluyla uzmanlık ve teknik konulara ilişkin ayrıntılar yürütme organının takdir yetkisine bırakılabilir. Yürütmeye bırakılan yetkinin üst sınırı ve çerçevesi belirlenirken alt sınırının belirlenmemiş olması, Anayasa'nın 128'inci maddesine de aykırıdır.</w:t>
      </w:r>
    </w:p>
    <w:p w:rsidR="004468C8" w:rsidRDefault="004468C8" w:rsidP="004468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468C8">
        <w:rPr>
          <w:rFonts w:ascii="Times New Roman" w:eastAsia="Times New Roman" w:hAnsi="Times New Roman" w:cs="Times New Roman"/>
          <w:color w:val="000000"/>
          <w:sz w:val="24"/>
          <w:szCs w:val="26"/>
          <w:lang w:eastAsia="tr-TR"/>
        </w:rPr>
        <w:t>1219 sayılı Tababet ve Şuabatı Sanatlarının İcrasına Dair Kanunun 29'uncu maddesinde; diş tabiplerinin, insan sağlığına ilişkin olarak, dişlerin, diş etlerinin ve bunlarla doğrudan bağlantılı olan ağız ve çene dokularının sağlığının korunması, hastalıklarının ve düzensizliklerinin teşhisi ve tedavisi ve rehabilite edilmesi ile ilgili her türlü mesleki faaliyeti icra etmeye yetkili oldukları düzenlenmiştir. Aynı Kanunun 06.04.2011 tarih ve 6225 sayılı Kanunla eklenen Ek 13'üncü maddesinde, Tabipler ve diş tabipleri dışındaki sağlık meslek mensuplarının hastalıklarla ilgili doğrudan teşhiste bulunarak tedavi planlayamayacağı ve reçete yazamayacağı hükmü bulunmaktadır. Bu düzenlemelerden diş tabiplerinin diğer tabipler gibi hasta muayene, teşhis ve tedavi yetkisine sahip olduğu anlaşılmaktadır.</w:t>
      </w:r>
    </w:p>
    <w:p w:rsidR="004468C8" w:rsidRPr="004468C8" w:rsidRDefault="004468C8" w:rsidP="004468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468C8">
        <w:rPr>
          <w:rFonts w:ascii="Times New Roman" w:eastAsia="Times New Roman" w:hAnsi="Times New Roman" w:cs="Times New Roman"/>
          <w:color w:val="000000"/>
          <w:sz w:val="24"/>
          <w:szCs w:val="26"/>
          <w:lang w:eastAsia="tr-TR"/>
        </w:rPr>
        <w:t xml:space="preserve">209 sayılı Kanunun 5'inci maddesinin 4'üncü fıkrasını değiştiren 5947 sayılı Kanunun 1'inci maddesinin kimlere ne kadar ek ödeme verileceğini düzenleyen 1'inci fıkrasının; 'Personelin katkısıyla elde edilen döner sermaye gelirlerinden personele bir ayda yapılacak ek </w:t>
      </w:r>
      <w:r w:rsidRPr="004468C8">
        <w:rPr>
          <w:rFonts w:ascii="Times New Roman" w:eastAsia="Times New Roman" w:hAnsi="Times New Roman" w:cs="Times New Roman"/>
          <w:color w:val="000000"/>
          <w:sz w:val="24"/>
          <w:szCs w:val="26"/>
          <w:lang w:eastAsia="tr-TR"/>
        </w:rPr>
        <w:lastRenderedPageBreak/>
        <w:t>ödemenin tutarı, ilgili personelin bir ayda alacağı aylık (ek gösterge dâhil), yan ödeme ve her türlü tazminat (makam, temsil ve görev tazminatı ile yabancı dil tazminatı hariç) toplamının; klinik şefleri ve şef yardımcıları ile uzman -tabip kadrosuna atanan profesör ve doçentlerde yüzde 800'ünü, uzman tabip ve tıpta uzmanlık mevzuatında belirtilen dallarda bu mevzuat hükümlerine göre uzman olanlar ile uzman diş tabiplerinde yüzde 700'ünü, pratisyen tabip ve diş tabiplerinde yüzde 500'ünü, idari sağlık müdür yardımcısı, hastane müdürü ve eczacılarda yüzde 250'sini, başhemşirelerde yüzde 200'ünü, diğer personelde ise yüzde 150'sini geçemez..." şeklindeki hüküm ile uzman tabip ile uzman diş tabibi, pratisyen tabip ile pratisyen diş tabibi alabilecekleri döner sermaye geliri tavanı olarak aynı oranlara tabi tutulmuş ve tabip - diş tabibi ayrımı yapılmamıştır.</w:t>
      </w:r>
    </w:p>
    <w:p w:rsidR="004468C8" w:rsidRDefault="004468C8" w:rsidP="004468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468C8">
        <w:rPr>
          <w:rFonts w:ascii="Times New Roman" w:eastAsia="Times New Roman" w:hAnsi="Times New Roman" w:cs="Times New Roman"/>
          <w:color w:val="000000"/>
          <w:sz w:val="24"/>
          <w:szCs w:val="26"/>
          <w:lang w:eastAsia="tr-TR"/>
        </w:rPr>
        <w:t>209 sayılı Kanunun 5'inci maddesine dayanılarak çıkarılan ve 12.05.2006 tarih ve 26166 sayılı Resmi Gazetede yayınlanan, Sağlık Bakanlığına Bağlı Sağlık Kurum ve Kuruluşlarında Görevli Personele Döner Sermaye gelirlerinden Ek Ödeme Yapılmasına Dair Yönetmeliğin 5'inci maddesinin 3'üncü fıkrasında; herhangi bir katkıya bağlı olmaksızın yapılacak ek ödeme oranları belirlenirken, diş tabipleri ile tabipler (%180), uzman diş tabipleri ile uzman tabipler (% 335) arasında bir ayrım yapılmamıştır. Yine aynı Yönetmelikte tavan ek ödeme tutarına esas katsayılar ( Tablo Ek-1) ile hizmet alanı kadro - unvan katsayıları (Tablo Ek-2, Ek-3, Ek-4), uzman tabip ile uzman diş tabibi, pratisyen tabip ile pratisyen diş tabibi için eşit olarak belirlenmiş, diş tabipleri ile tabipler, uzman diş tabipleri ile uzman tabipler arasında bir ayrım yapılmamıştır.</w:t>
      </w:r>
    </w:p>
    <w:p w:rsidR="004468C8" w:rsidRDefault="004468C8" w:rsidP="004468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468C8">
        <w:rPr>
          <w:rFonts w:ascii="Times New Roman" w:eastAsia="Times New Roman" w:hAnsi="Times New Roman" w:cs="Times New Roman"/>
          <w:color w:val="000000"/>
          <w:sz w:val="24"/>
          <w:szCs w:val="26"/>
          <w:lang w:eastAsia="tr-TR"/>
        </w:rPr>
        <w:t>Buna karşın 926 sayılı Kanunun Ek-17'nci maddesinin (ç) fıkrasının 1'inci bendinde yer alan tabloda tabip ve diş tabipleri ayrımı yapılmış ve 3 ve 4'üncü sütunlarda diş tabiplerine daha düşük katsayılar üzerinden tazminat ödenmesi kararlaştırılmıştır. Sivil tabiplerle askeri tabiplerin yine sivil diş tabipleriyle askeri diş tabiplerinin sağlık hizmeti kapsamında eğitim, yetki ve sorumluluk bakımından aralarında hiçbir fark bulunmamasına rağmen, sivil tabiplerle sivil diş tabiplerinin alabilecekleri döner sermaye gelirlerinin tavanı aynı tutulup, askeri tabip ve askeri diş tabiplerine ödenecek sağlık hizmetleri tazminatı belirlenirken, askeri diş tabiplerine daha düşük oran belirlenmesi Anayasanın eşitlik ilkesine aykırıdır.</w:t>
      </w:r>
    </w:p>
    <w:p w:rsidR="004468C8" w:rsidRPr="004468C8" w:rsidRDefault="004468C8" w:rsidP="004468C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4468C8">
        <w:rPr>
          <w:rFonts w:ascii="Times New Roman" w:eastAsia="Times New Roman" w:hAnsi="Times New Roman" w:cs="Times New Roman"/>
          <w:color w:val="000000"/>
          <w:sz w:val="24"/>
          <w:szCs w:val="26"/>
          <w:lang w:eastAsia="tr-TR"/>
        </w:rPr>
        <w:t>926 sayılı Kanunun Ek-17'nci maddesinin (ç) fıkrasının 1'inci bendinde yer alan tablonun 1'inci sütununda, öğretim üyesi tabiplerle, öğretim üyesi diş tabiplerinin tazminat oranları da eşit tutulmuştur. Anayasa Mahkemesi'nin 16.07.2010 tarih ve E:2010/29, K2010/90 sayılı kararında; sağlık hizmetleri tazminatının, GATA'da öğretim üyesi olarak görev yapmanın değil tabip olma statüsünün bir sonucu olduğu gerekçesi de dikkate alındığında, tazminat oranları belirlenirken, öğretim üyeleri bakımından tabip - diş tabibi ayrımı yapılmazken, öğretim üyesi olmayanlar bakımından bu ayrımın yapılmasının haklı ve açıklanabilir gerekçesi bulunmamaktadır. Tazminat oranlarına ilişkin düzenleme kendi içerisinde çelişmekte ve Anayasanın eşitlik ilkesine aykırılık içermektedir.'"</w:t>
      </w:r>
    </w:p>
    <w:p w:rsidR="00CE1FB9" w:rsidRPr="004468C8" w:rsidRDefault="00CE1FB9" w:rsidP="004468C8">
      <w:pPr>
        <w:spacing w:before="100" w:beforeAutospacing="1" w:after="100" w:afterAutospacing="1" w:line="240" w:lineRule="auto"/>
        <w:ind w:firstLine="709"/>
        <w:jc w:val="both"/>
        <w:rPr>
          <w:rFonts w:ascii="Times New Roman" w:hAnsi="Times New Roman" w:cs="Times New Roman"/>
          <w:sz w:val="24"/>
        </w:rPr>
      </w:pPr>
    </w:p>
    <w:sectPr w:rsidR="00CE1FB9" w:rsidRPr="004468C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F01" w:rsidRDefault="00005F01" w:rsidP="004468C8">
      <w:pPr>
        <w:spacing w:after="0" w:line="240" w:lineRule="auto"/>
      </w:pPr>
      <w:r>
        <w:separator/>
      </w:r>
    </w:p>
  </w:endnote>
  <w:endnote w:type="continuationSeparator" w:id="0">
    <w:p w:rsidR="00005F01" w:rsidRDefault="00005F01" w:rsidP="00446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C8" w:rsidRDefault="004468C8" w:rsidP="00C8676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68C8" w:rsidRDefault="004468C8" w:rsidP="004468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C8" w:rsidRPr="004468C8" w:rsidRDefault="004468C8" w:rsidP="00C86768">
    <w:pPr>
      <w:pStyle w:val="Altbilgi"/>
      <w:framePr w:wrap="around" w:vAnchor="text" w:hAnchor="margin" w:xAlign="right" w:y="1"/>
      <w:rPr>
        <w:rStyle w:val="SayfaNumaras"/>
        <w:rFonts w:ascii="Times New Roman" w:hAnsi="Times New Roman" w:cs="Times New Roman"/>
      </w:rPr>
    </w:pPr>
    <w:r w:rsidRPr="004468C8">
      <w:rPr>
        <w:rStyle w:val="SayfaNumaras"/>
        <w:rFonts w:ascii="Times New Roman" w:hAnsi="Times New Roman" w:cs="Times New Roman"/>
      </w:rPr>
      <w:fldChar w:fldCharType="begin"/>
    </w:r>
    <w:r w:rsidRPr="004468C8">
      <w:rPr>
        <w:rStyle w:val="SayfaNumaras"/>
        <w:rFonts w:ascii="Times New Roman" w:hAnsi="Times New Roman" w:cs="Times New Roman"/>
      </w:rPr>
      <w:instrText xml:space="preserve">PAGE  </w:instrText>
    </w:r>
    <w:r w:rsidRPr="004468C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468C8">
      <w:rPr>
        <w:rStyle w:val="SayfaNumaras"/>
        <w:rFonts w:ascii="Times New Roman" w:hAnsi="Times New Roman" w:cs="Times New Roman"/>
      </w:rPr>
      <w:fldChar w:fldCharType="end"/>
    </w:r>
  </w:p>
  <w:p w:rsidR="004468C8" w:rsidRPr="004468C8" w:rsidRDefault="004468C8" w:rsidP="004468C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F01" w:rsidRDefault="00005F01" w:rsidP="004468C8">
      <w:pPr>
        <w:spacing w:after="0" w:line="240" w:lineRule="auto"/>
      </w:pPr>
      <w:r>
        <w:separator/>
      </w:r>
    </w:p>
  </w:footnote>
  <w:footnote w:type="continuationSeparator" w:id="0">
    <w:p w:rsidR="00005F01" w:rsidRDefault="00005F01" w:rsidP="00446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8C8" w:rsidRPr="00BC6105" w:rsidRDefault="004468C8" w:rsidP="004468C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C6105">
      <w:rPr>
        <w:rFonts w:ascii="Times New Roman" w:eastAsia="Times New Roman" w:hAnsi="Times New Roman" w:cs="Times New Roman"/>
        <w:b/>
        <w:bCs/>
        <w:color w:val="000000"/>
        <w:sz w:val="24"/>
        <w:szCs w:val="26"/>
        <w:lang w:eastAsia="tr-TR"/>
      </w:rPr>
      <w:t>Esas Sayısı : 2011/90</w:t>
    </w:r>
  </w:p>
  <w:p w:rsidR="004468C8" w:rsidRPr="00BC6105" w:rsidRDefault="004468C8" w:rsidP="004468C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BC6105">
      <w:rPr>
        <w:rFonts w:ascii="Times New Roman" w:eastAsia="Times New Roman" w:hAnsi="Times New Roman" w:cs="Times New Roman"/>
        <w:b/>
        <w:bCs/>
        <w:color w:val="000000"/>
        <w:sz w:val="24"/>
        <w:szCs w:val="26"/>
        <w:lang w:eastAsia="tr-TR"/>
      </w:rPr>
      <w:t>Karar Sayısı : 2012/71</w:t>
    </w:r>
  </w:p>
  <w:p w:rsidR="004468C8" w:rsidRPr="004468C8" w:rsidRDefault="004468C8" w:rsidP="004468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8C8"/>
    <w:rsid w:val="00005F01"/>
    <w:rsid w:val="004468C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CF5F3-3323-4DAE-8908-843F13FB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468C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4468C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468C8"/>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4468C8"/>
    <w:rPr>
      <w:rFonts w:ascii="Times New Roman" w:eastAsia="Times New Roman" w:hAnsi="Times New Roman" w:cs="Times New Roman"/>
      <w:b/>
      <w:bCs/>
      <w:sz w:val="27"/>
      <w:szCs w:val="27"/>
      <w:lang w:eastAsia="tr-TR"/>
    </w:rPr>
  </w:style>
  <w:style w:type="paragraph" w:styleId="GvdeMetni">
    <w:name w:val="Body Text"/>
    <w:basedOn w:val="Normal"/>
    <w:link w:val="GvdeMetniChar"/>
    <w:uiPriority w:val="99"/>
    <w:semiHidden/>
    <w:unhideWhenUsed/>
    <w:rsid w:val="004468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4468C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468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68C8"/>
  </w:style>
  <w:style w:type="paragraph" w:styleId="Altbilgi">
    <w:name w:val="footer"/>
    <w:basedOn w:val="Normal"/>
    <w:link w:val="AltbilgiChar"/>
    <w:uiPriority w:val="99"/>
    <w:unhideWhenUsed/>
    <w:rsid w:val="004468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68C8"/>
  </w:style>
  <w:style w:type="character" w:styleId="SayfaNumaras">
    <w:name w:val="page number"/>
    <w:basedOn w:val="VarsaylanParagrafYazTipi"/>
    <w:uiPriority w:val="99"/>
    <w:semiHidden/>
    <w:unhideWhenUsed/>
    <w:rsid w:val="00446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6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1004</Words>
  <Characters>5729</Characters>
  <Application>Microsoft Office Word</Application>
  <DocSecurity>0</DocSecurity>
  <Lines>47</Lines>
  <Paragraphs>13</Paragraphs>
  <ScaleCrop>false</ScaleCrop>
  <Company/>
  <LinksUpToDate>false</LinksUpToDate>
  <CharactersWithSpaces>6720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2019-02-12T06:57:00Z</dcterms:created>
  <dcterms:modified xsi:type="dcterms:W3CDTF">2019-02-12T06:58:00Z</dcterms:modified>
</cp:coreProperties>
</file>