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845BB4">
        <w:rPr>
          <w:rFonts w:ascii="Times New Roman" w:eastAsia="Times New Roman" w:hAnsi="Times New Roman" w:cs="Times New Roman"/>
          <w:b/>
          <w:bCs/>
          <w:color w:val="000000"/>
          <w:sz w:val="24"/>
          <w:szCs w:val="26"/>
          <w:lang w:eastAsia="tr-TR"/>
        </w:rPr>
        <w:t>"...</w:t>
      </w:r>
    </w:p>
    <w:p w:rsid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b/>
          <w:bCs/>
          <w:color w:val="000000"/>
          <w:sz w:val="24"/>
          <w:szCs w:val="26"/>
          <w:lang w:eastAsia="tr-TR"/>
        </w:rPr>
        <w:t>II- İTİRAZIN GEREKÇESİ</w:t>
      </w:r>
      <w:bookmarkStart w:id="0" w:name="_GoBack"/>
      <w:bookmarkEnd w:id="0"/>
    </w:p>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color w:val="000000"/>
          <w:sz w:val="24"/>
          <w:szCs w:val="26"/>
          <w:lang w:eastAsia="tr-TR"/>
        </w:rPr>
        <w:t>Başvuru kararının gerekçe bölümü şöyledir:</w:t>
      </w:r>
    </w:p>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i/>
          <w:iCs/>
          <w:color w:val="000000"/>
          <w:sz w:val="24"/>
          <w:szCs w:val="26"/>
          <w:lang w:eastAsia="tr-TR"/>
        </w:rPr>
        <w:t>'Davacı, evlat edinmeyi ve bu ilişkinin kaldırılması sebebini öğrendiği tarihten başlayarak bir yıl içinde dava hakkını kullanmıştır. Ancak evlat edinme işleminin üzerinden beş yıl geçtiği için davası reddedilmiştir. Evlatlık ilişkinin kaldırılmasına ilişkin dava hakkının kullanılmasını, 'evlat edinme işlemden itibaren beş yılla sınırlayan' Türk Medeni Kanununun 319. maddesi hükmü, Anayasanın 2., 11., 13. ve 36. maddelerine aykırıdır. Şöyle ki;</w:t>
      </w:r>
    </w:p>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i/>
          <w:iCs/>
          <w:color w:val="000000"/>
          <w:sz w:val="24"/>
          <w:szCs w:val="26"/>
          <w:lang w:eastAsia="tr-TR"/>
        </w:rPr>
        <w:t>Anayasanın 2. maddesinde Cumhuriyetin nitelikleri sayılırken '...Türkiye Cumhuriyeti'nin, bir hukuk devleti' olduğu belirtilmiş; 11. maddesi ise 'Anayasa hükümlerinin, yasama, yürütme ve yargı organlarını, idare makamlarını, diğer kuruluş ve kişileri bağlayan temel hukuk kuralları olduğu, kanunların Anayasaya aykırı olamayacağını', 36. maddesi, 'herkesin meşru vasıta ve yollardan faydalanmak suretiyle yargı mercileri önünde davacı veya davalı olarak iddia ve savunma ile adil yargılanma hakkına sahip bulunduğunu' hükme bağlamış, 13. maddesinde ise, 'temel hak ve hürriyetlerin özlerine dokunulmaksızın yalnızca Anayasanın ilgili maddelerinde belirtilen sebeplere bağlı olarak ve ancak kanunla sınırlanabileceği, bu sınırlamaların Anayasanın sözüne ve ruhuna, demokratik toplum düzeninin ve laik Cumhuriyetin gereklerine ve ölçülülük ilkesine aykırı olamayacağı' belirtilmiştir.</w:t>
      </w:r>
    </w:p>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i/>
          <w:iCs/>
          <w:color w:val="000000"/>
          <w:sz w:val="24"/>
          <w:szCs w:val="26"/>
          <w:lang w:eastAsia="tr-TR"/>
        </w:rPr>
        <w:t xml:space="preserve">Evlat edinme ile, evlat edinenle evlatlık arasında doğal soybağına yakın bir soybağı ilişkisi kurulmaktadır.(TMK. m. 282/2) Bunun sonucu olarak evlat edinme ile, ana ve babaya ait hak ve yükümlülükler evlat edinene geçmektedir. (TMK. m. 314) Türk Medeni Kanunu, evli bir kimsenin tek başına evlat edinmesine, Kanunda sayılan belirli durumlarda izin vermiş, bunun dışında evli bir kimsenin tek başına evlat edinmesinin mümkün olmadığını, eşlerin ancak birlikte evlat edinebileceklerini hükme bağlamıştır. Kanunun 'eşler ancak birlikte evlat edinebilirler' (m.306/1) hükmü ile evli bir kimsenin, birlikte evlat edinmenin imkansız olduğu bazı durumlarda tek başına evlat edinmesine imkan veren 307. maddesinin ikinci fıkrasının iptali isteği, Anayasa Mahkemesine itiraz yoluyla götürülmüş, Yüksek Mahkeme, 9.7.2009 tarihli, 2004/38 esas, 2009/108 karar sayılı kararıyla, bu hükümlerin Anayasa'ya aykırı olmadığı sonucuna vararak itiraz başvurusunu reddetmiştir. Kanun, kurulmuş olan evlatlık ilişkisinin kaldırılmasını gerektiren sebepleri 317. ve 318. maddesinde göstermiştir. 318. madde 'evlat edinme esasa ilişkin diğer noksanlıklardan biriyle sakatsa, Cumhuriyet savcısı veya her ilgilinin, evlatlık ilişkisinin kaldırılmasını isteyebileceğini...' hükme bağlamış, 'noksanlıklar bu arada ortadan kalkmış veya sadece usule ilişkin olup, ilişkinin kaldırılması evlatlığın menfaatini ağır biçimde zedeleyecek olursa bu yola gidilemeyeceğini' öngörmüştür. Anayasa Mahkemesine başvurulmasına karar verilen somut olayda, evli bir kimse, birlikte evlat edinmenin imkansız olduğu Kanunda gösterilen belli durumlar bulunmadığı halde, tek başına evlat edinmiştir. Başka bir ifade ile, Kanunun izin vermediği bir evlatlık ilişkisi kurulmuştur. Kanun, 319. maddesinde dava hakkının 'evlatlık ilişkisinin kaldırılması sebebinin öğrenilmesinden başlayarak bir yıl ve her halde evlat edinme işleminin üzerinden beş yıl geçmekle düşeceğini' hükme bağlamıştır. Bu maddede öngörülen 've her halde evlat edinme işleminin üzerinden beş yıl geçmekle dava hakkının düşeceğine' ilişkin düzenlemenin altında yatan temel sebep, evlat edinme ile kurulan soybağı ilişkisi üzerindeki çekişmeyi bitirmek ve bu ilişkinin her zaman dava ile ortadan kaldırılabilmesi imkanını vermemek suretiyle ilişkiye istikrar kazandırmaktır. Kuşkusuz kanun koyucunun bu amacı, Kanunun izin verdiği bir evlatlık </w:t>
      </w:r>
      <w:r w:rsidRPr="00845BB4">
        <w:rPr>
          <w:rFonts w:ascii="Times New Roman" w:eastAsia="Times New Roman" w:hAnsi="Times New Roman" w:cs="Times New Roman"/>
          <w:i/>
          <w:iCs/>
          <w:color w:val="000000"/>
          <w:sz w:val="24"/>
          <w:szCs w:val="26"/>
          <w:lang w:eastAsia="tr-TR"/>
        </w:rPr>
        <w:lastRenderedPageBreak/>
        <w:t>ilişkisi kurulmuş ise anlaşılabilir. Ortada Kanunun kesin biçimde yasakladığı bir evlatlık ilişkisi söz konusu ise, bu ilişkinin kaldırılmasını dava etme hakkının, işlem tarihinden itibaren beş yılla sınırlandırılması, kanuna aykırı bir ilişkiyi ilelebet sürdürmek anlamına gelir ki, yasa koyucunun bunu arzulamadığı açıktır. O nedenle, madde metnindeki 've her halde evlat edinme işleminin üzerinden beş yıl' ifadesi Anayasanın 2. maddesindeki 'hukuk devleti' ilkesiyle bağdaşmaz.</w:t>
      </w:r>
    </w:p>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i/>
          <w:iCs/>
          <w:color w:val="000000"/>
          <w:sz w:val="24"/>
          <w:szCs w:val="26"/>
          <w:lang w:eastAsia="tr-TR"/>
        </w:rPr>
        <w:t>Öte yandan, Anayasanın 13. maddesi, temel hak ve hürriyetlerin, özlerine dokunulmaksızın yalnızca Anayasanın ilgili maddelerinde belirtilen sebeplere bağlı olarak ve ancak kanunla sınırlanabileceğini, ... bu sınırlamaların, ' ölçülülük ilkesine aykırı olamayacağını' hükme bağlamıştır. Hukuk devletinin bir gereği olan 'ölçülülük' ilkesi yasa koyucu için bağlayıcıdır. Bu ilke, Anayasa Mahkemesinin çeşitli kararlarında vurgulandığı gibi 'elverişlilik', 'gereklilik' ve 'orantılılık' ilkelerini içerir. 'Elverişlilik', getirilen kuralın ulaşılmak istenen amaç için elverişli olmasını, 'gereklilik', getirilen kuralın, ulaşılmak istenen amaç bakımından gerekli olmasını ve 'orantılılık' ise, getirilen kural ile ulaşılmak istenen amaç arasında olması gereken ölçüyü ifade eder. (Anayasa Mahkemesinin 27.10.2011 tarihli 2010/71 esas, 2011/143 karar sayılı kararı.) Ölçülülük ilkesi nedeniyle Devlet, sınırlamadan beklenen kamu yararı ile bireyin hak ve özgürlükleri arasında adil bir dengeyi sağlamakla yükümlüdür. İtiraz konusu kural, 'dava hakkını' ölçüsüz şekilde sınırladığından Anayasanın 13. maddesine ve Anayasa hükümlerinin yasama, yürütme ve yargı organlarını ve diğer kuruluş ve kişileri bağlayan temel hukuk kurallarıdır' şeklindeki 11. maddesine aykırı bir düzenlemedir. Anayasaya göre 'herkes, meşru vasıta ve yollardan yararlanmak suretiyle yargı mercileri önünde davacı veya davalı olarak iddia ve savunma ile adil yargılanma hakkına sahiptir.' Bu hak, Anayasa'da herhangi bir sınırlamaya tabi tutulmamıştır. İtiraz konusu kural, kişinin dava açma hakkını ölçüsüz bir şekilde sınırlandırmakta ve hakkın özüne dokunmaktadır. Somut olayda davacının, eşi sağ iken böyle bir dava açmakta korunmaya değer bir hukuki yararı bulunmadığından (Yargıtay İçtihadı Birleştirme Büyük Genel Kurulunun 7.12.1955 tarihli ve 11/24 sayılı kararı.) o ancak eşinin ölümünden sonra bu hakkını kullanabilecektir. Böyle bir halde, evlat edinme işleminin üzerinden beş yıl geçmiş ise, başka bir ifade ile, olayda olduğu gibi eşi, evlat edinme işleminin üzerinden beş yıl geçtikten sonra ölmüş ise, işlem üzerinden beş yıl geçmiş olduğu için davacı hiçbir zaman dava açamayacak demektir. O nedenle sözü edilen kuralın, 'hak arama özgürlüğünün' özüne dokunduğundan Anayasanın 36. maddesine de aykırı olduğu kanaatine varılmıştır.</w:t>
      </w:r>
    </w:p>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i/>
          <w:iCs/>
          <w:color w:val="000000"/>
          <w:sz w:val="24"/>
          <w:szCs w:val="26"/>
          <w:lang w:eastAsia="tr-TR"/>
        </w:rPr>
        <w:t>Öte yandan; Anayasa Mahkemesi; kocanın soybağının reddi davası açma hakkını 'her halde doğumdan başlayarak beş yılla' sınırlayan Türk Medeni Kanununun 289. maddesinin birinci fıkrasındaki '...her halde doğumdan başlayarak beş yıl. .' ibaresini, 25.6.2009 tarihli, 2008/30 esas, 2009/96 karar sayılı kararıyla Anayasaya aykırı bulmuş ve iptal etmiştir (R.G. 7.10.2009 gün ve 27369 sayı.) Babalık davasında da, çocuğun dava hakkını ergin olduğu tarihten itibaren bir yıllık hak düşürücü süreye bağlayan Türk Medeni Kanununun 303. maddesinin ikinci fıkrasındaki '...hiç kayyım atanmamışsa çocuğun ergin olduğu tarihte işlemeye başlar...' hükmünü, 27.11.2011 tarihli, 2010/71 esas, 2011/143 karar sayılı kararıyla yine Anayasaya aykırı görerek iptal etmiş, bu hükmün iptali nedeniyle aynı maddenin ikinci fıkrasının kalan bölümünün de uygulanma olanağı kalmadığından iptaline karar vermiştir. (R.G. 7.2.2012 gün, 28197 sayı) Bu kararlarda ortaya konulan iptal gerekçeleri, evlat edinenle evlatlık arasındaki soybağı tesis eden 'evlat edinme işleminin kaldırılması davası' için de geçerli olmak gerekir.</w:t>
      </w:r>
    </w:p>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i/>
          <w:iCs/>
          <w:color w:val="000000"/>
          <w:sz w:val="24"/>
          <w:szCs w:val="26"/>
          <w:lang w:eastAsia="tr-TR"/>
        </w:rPr>
        <w:t>KARAR: Yukarıda açıklanan sebeplerle;</w:t>
      </w:r>
    </w:p>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i/>
          <w:iCs/>
          <w:color w:val="000000"/>
          <w:sz w:val="24"/>
          <w:szCs w:val="26"/>
          <w:lang w:eastAsia="tr-TR"/>
        </w:rPr>
        <w:lastRenderedPageBreak/>
        <w:t>1- Davada uygulanacak kural niteliğinde olan Türk Medeni Kanununun 319. maddesinde yer alan '...ve her halde evlat edinme işleminin üzerinden beş yıl...' şeklindeki düzenlemenin; Anayasanın 2, 11, 13. ve 36. maddelerine aykırı olduğu kanaatine varıldığından, sözü edilen hükmün iptali için, Anayasanın 152'nci ve 6216 sayılı Anayasa Mahkemesinin Kuruluşu ve Yargılama Usulleri Hakkında Kanunun 40'ncı maddesi gereğince Anayasa Mahkemesine itiraz başvurusunda bulunulmasına,</w:t>
      </w:r>
    </w:p>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i/>
          <w:iCs/>
          <w:color w:val="000000"/>
          <w:sz w:val="24"/>
          <w:szCs w:val="26"/>
          <w:lang w:eastAsia="tr-TR"/>
        </w:rPr>
        <w:t>2- Temyiz incelemesi bakımından, Anayasa Mahkemesine itiraz başvurusunun bekletici mesele sayılmasına, Anayasanın 152/3. ve 6216 sayılı Kanunun 40/5. maddesi gereğince, davanın temyiz incelemesinin, işbu başvurunun Anayasa Mahkemesinin kaydına giriş tarihinden itibaren beş ay süreyle bekletilmesine,</w:t>
      </w:r>
    </w:p>
    <w:p w:rsidR="00845BB4" w:rsidRPr="00845BB4" w:rsidRDefault="00845BB4" w:rsidP="00845BB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45BB4">
        <w:rPr>
          <w:rFonts w:ascii="Times New Roman" w:eastAsia="Times New Roman" w:hAnsi="Times New Roman" w:cs="Times New Roman"/>
          <w:i/>
          <w:iCs/>
          <w:color w:val="000000"/>
          <w:sz w:val="24"/>
          <w:szCs w:val="26"/>
          <w:lang w:eastAsia="tr-TR"/>
        </w:rPr>
        <w:t>3- Gerekçeli başvuru kararının aslının, dava dosyası içindeki belgelerin aslına uygunluğu onaylı örneklerinin dizi listesine bağlanarak Anayasa Mahkemesine gönderilmesine oybirliğiyle karar verildi.'"</w:t>
      </w:r>
    </w:p>
    <w:p w:rsidR="00CE1FB9" w:rsidRPr="00845BB4" w:rsidRDefault="00CE1FB9" w:rsidP="00845BB4">
      <w:pPr>
        <w:spacing w:before="100" w:beforeAutospacing="1" w:after="100" w:afterAutospacing="1" w:line="240" w:lineRule="auto"/>
        <w:ind w:firstLine="709"/>
        <w:jc w:val="both"/>
        <w:rPr>
          <w:rFonts w:ascii="Times New Roman" w:hAnsi="Times New Roman" w:cs="Times New Roman"/>
          <w:sz w:val="24"/>
        </w:rPr>
      </w:pPr>
    </w:p>
    <w:sectPr w:rsidR="00CE1FB9" w:rsidRPr="00845BB4">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5FA7" w:rsidRDefault="00C25FA7" w:rsidP="00845BB4">
      <w:pPr>
        <w:spacing w:after="0" w:line="240" w:lineRule="auto"/>
      </w:pPr>
      <w:r>
        <w:separator/>
      </w:r>
    </w:p>
  </w:endnote>
  <w:endnote w:type="continuationSeparator" w:id="0">
    <w:p w:rsidR="00C25FA7" w:rsidRDefault="00C25FA7" w:rsidP="00845B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BB4" w:rsidRDefault="00845BB4" w:rsidP="00DB5D5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45BB4" w:rsidRDefault="00845BB4" w:rsidP="00845BB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BB4" w:rsidRPr="00845BB4" w:rsidRDefault="00845BB4" w:rsidP="00DB5D5D">
    <w:pPr>
      <w:pStyle w:val="Altbilgi"/>
      <w:framePr w:wrap="around" w:vAnchor="text" w:hAnchor="margin" w:xAlign="right" w:y="1"/>
      <w:rPr>
        <w:rStyle w:val="SayfaNumaras"/>
        <w:rFonts w:ascii="Times New Roman" w:hAnsi="Times New Roman" w:cs="Times New Roman"/>
      </w:rPr>
    </w:pPr>
    <w:r w:rsidRPr="00845BB4">
      <w:rPr>
        <w:rStyle w:val="SayfaNumaras"/>
        <w:rFonts w:ascii="Times New Roman" w:hAnsi="Times New Roman" w:cs="Times New Roman"/>
      </w:rPr>
      <w:fldChar w:fldCharType="begin"/>
    </w:r>
    <w:r w:rsidRPr="00845BB4">
      <w:rPr>
        <w:rStyle w:val="SayfaNumaras"/>
        <w:rFonts w:ascii="Times New Roman" w:hAnsi="Times New Roman" w:cs="Times New Roman"/>
      </w:rPr>
      <w:instrText xml:space="preserve">PAGE  </w:instrText>
    </w:r>
    <w:r w:rsidRPr="00845BB4">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845BB4">
      <w:rPr>
        <w:rStyle w:val="SayfaNumaras"/>
        <w:rFonts w:ascii="Times New Roman" w:hAnsi="Times New Roman" w:cs="Times New Roman"/>
      </w:rPr>
      <w:fldChar w:fldCharType="end"/>
    </w:r>
  </w:p>
  <w:p w:rsidR="00845BB4" w:rsidRPr="00845BB4" w:rsidRDefault="00845BB4" w:rsidP="00845BB4">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5FA7" w:rsidRDefault="00C25FA7" w:rsidP="00845BB4">
      <w:pPr>
        <w:spacing w:after="0" w:line="240" w:lineRule="auto"/>
      </w:pPr>
      <w:r>
        <w:separator/>
      </w:r>
    </w:p>
  </w:footnote>
  <w:footnote w:type="continuationSeparator" w:id="0">
    <w:p w:rsidR="00C25FA7" w:rsidRDefault="00C25FA7" w:rsidP="00845BB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BB4" w:rsidRPr="00061C73" w:rsidRDefault="00845BB4" w:rsidP="00845BB4">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061C73">
      <w:rPr>
        <w:rFonts w:ascii="Times New Roman" w:eastAsia="Times New Roman" w:hAnsi="Times New Roman" w:cs="Times New Roman"/>
        <w:b/>
        <w:bCs/>
        <w:color w:val="000000"/>
        <w:sz w:val="24"/>
        <w:szCs w:val="26"/>
        <w:lang w:eastAsia="tr-TR"/>
      </w:rPr>
      <w:t>Esas Sayısı : 2012/35</w:t>
    </w:r>
  </w:p>
  <w:p w:rsidR="00845BB4" w:rsidRPr="00061C73" w:rsidRDefault="00845BB4" w:rsidP="00845BB4">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061C73">
      <w:rPr>
        <w:rFonts w:ascii="Times New Roman" w:eastAsia="Times New Roman" w:hAnsi="Times New Roman" w:cs="Times New Roman"/>
        <w:b/>
        <w:bCs/>
        <w:color w:val="000000"/>
        <w:sz w:val="24"/>
        <w:szCs w:val="26"/>
        <w:lang w:eastAsia="tr-TR"/>
      </w:rPr>
      <w:t>Karar Sayısı : 2012/203</w:t>
    </w:r>
  </w:p>
  <w:p w:rsidR="00845BB4" w:rsidRPr="00845BB4" w:rsidRDefault="00845BB4" w:rsidP="00845BB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5BB4"/>
    <w:rsid w:val="00845BB4"/>
    <w:rsid w:val="00C25FA7"/>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8D82113-4688-4C06-9C93-B8672E91F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845BB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45BB4"/>
  </w:style>
  <w:style w:type="paragraph" w:styleId="Altbilgi">
    <w:name w:val="footer"/>
    <w:basedOn w:val="Normal"/>
    <w:link w:val="AltbilgiChar"/>
    <w:uiPriority w:val="99"/>
    <w:unhideWhenUsed/>
    <w:rsid w:val="00845BB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45BB4"/>
  </w:style>
  <w:style w:type="character" w:styleId="SayfaNumaras">
    <w:name w:val="page number"/>
    <w:basedOn w:val="VarsaylanParagrafYazTipi"/>
    <w:uiPriority w:val="99"/>
    <w:semiHidden/>
    <w:unhideWhenUsed/>
    <w:rsid w:val="00845B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5101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1295</Words>
  <Characters>7387</Characters>
  <Application>Microsoft Office Word</Application>
  <DocSecurity>0</DocSecurity>
  <Lines>61</Lines>
  <Paragraphs>17</Paragraphs>
  <ScaleCrop>false</ScaleCrop>
  <Company/>
  <LinksUpToDate>false</LinksUpToDate>
  <CharactersWithSpaces>8665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2019-02-11T10:53:00Z</dcterms:created>
  <dcterms:modified xsi:type="dcterms:W3CDTF">2019-02-11T10:53:00Z</dcterms:modified>
</cp:coreProperties>
</file>