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DF" w:rsidRPr="00790BDF" w:rsidRDefault="00790BDF" w:rsidP="00790BD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90BDF">
        <w:rPr>
          <w:rFonts w:ascii="Times New Roman" w:eastAsia="Times New Roman" w:hAnsi="Times New Roman" w:cs="Times New Roman"/>
          <w:b/>
          <w:bCs/>
          <w:color w:val="000000"/>
          <w:sz w:val="24"/>
          <w:szCs w:val="26"/>
          <w:lang w:eastAsia="tr-TR"/>
        </w:rPr>
        <w:t>"...</w:t>
      </w:r>
      <w:bookmarkStart w:id="0" w:name="_GoBack"/>
      <w:bookmarkEnd w:id="0"/>
    </w:p>
    <w:p w:rsidR="00790BDF" w:rsidRDefault="00790BDF" w:rsidP="00790BDF">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90BDF">
        <w:rPr>
          <w:rFonts w:ascii="Times New Roman" w:eastAsia="Times New Roman" w:hAnsi="Times New Roman" w:cs="Times New Roman"/>
          <w:b/>
          <w:bCs/>
          <w:color w:val="000000"/>
          <w:sz w:val="24"/>
          <w:szCs w:val="26"/>
          <w:lang w:eastAsia="tr-TR"/>
        </w:rPr>
        <w:t>II- İTİRAZIN GEREKÇESİ</w:t>
      </w:r>
    </w:p>
    <w:p w:rsidR="00790BDF" w:rsidRPr="00790BDF" w:rsidRDefault="00790BDF" w:rsidP="00790BD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0BDF">
        <w:rPr>
          <w:rFonts w:ascii="Times New Roman" w:eastAsia="Times New Roman" w:hAnsi="Times New Roman" w:cs="Times New Roman"/>
          <w:color w:val="000000"/>
          <w:sz w:val="24"/>
          <w:szCs w:val="26"/>
          <w:lang w:eastAsia="tr-TR"/>
        </w:rPr>
        <w:t>Başvuru kararının gerekçe bölümü şöyledir:</w:t>
      </w:r>
    </w:p>
    <w:p w:rsidR="00790BDF" w:rsidRDefault="00790BDF" w:rsidP="00790BDF">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90BDF">
        <w:rPr>
          <w:rFonts w:ascii="Times New Roman" w:eastAsia="Times New Roman" w:hAnsi="Times New Roman" w:cs="Times New Roman"/>
          <w:color w:val="000000"/>
          <w:sz w:val="24"/>
          <w:szCs w:val="26"/>
          <w:lang w:eastAsia="tr-TR"/>
        </w:rPr>
        <w:t>'Anamur Asliye Hukuk Mahkemesi'nin 2010/598 esas, 2011/141 karar sayılı dava dosyasında görülüp sonuçlanan davada; davacı, Anamur Belediye Başkanlığı Hesap İşleri Müdürlüğü görevini yürütürken, bu görevinden alınarak bir alt derecede bulunan Hal Müdürlüğü görevine atandığını, bu atama işleminin Mersin 1. İdare Mahkemesi'nce yürütülmesinin durdurulmasına karar verilmesine rağmen, belediye başkanı olan davalının bu kararı uygulamadığını iddia ederek manevi tazminat istemiştir. Mahkemece dava kısmen kabul edilmiş; karar, davalı tarafından temyiz edilmiştir.</w:t>
      </w:r>
    </w:p>
    <w:p w:rsidR="00790BDF" w:rsidRDefault="00790BDF" w:rsidP="00790BDF">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90BDF">
        <w:rPr>
          <w:rFonts w:ascii="Times New Roman" w:eastAsia="Times New Roman" w:hAnsi="Times New Roman" w:cs="Times New Roman"/>
          <w:color w:val="000000"/>
          <w:sz w:val="24"/>
          <w:szCs w:val="26"/>
          <w:lang w:eastAsia="tr-TR"/>
        </w:rPr>
        <w:t>Dava, idari yargı kararının uygulanmaması nedeniyle manevi tazminat istemine ilişkindir. Davacı kamu görevlisi olan davalıdan tazminat istemiştir. 06/01/1982 tarihli, 2577 sayılı îdari Yargılama Usulü Kanunu'nun 28/4. maddesine göre, 'Mahkeme kararlarının otuz gün içinde kamu görevlilerince kasten yerine getirilmemesi halinde ilgili, idare aleyhine dava açabileceği gibi, kararı yerine getirmeyen kamu görevlisi aleyhine de tazminat davası açabilir.' Bu yasal düzenlemeye göre davacının davasını kamu görevlisine yöneltme hakkı vardır. Ne var ki, 18/10/1982 tarihli Anayasa'nın 129/5. maddesine göre, 'memurlar ve diğer kamu görevlilerinin yetkilerini kullanırken işledikleri kusurlardan dolayı tazminat davaları, kendilerine rücu edilmek kaydıyla ve kanunun gösterdiği şekil ve şartlara uygun olarak, ancak idare aleyhine açılabilir.'</w:t>
      </w:r>
    </w:p>
    <w:p w:rsidR="00790BDF" w:rsidRDefault="00790BDF" w:rsidP="00790BDF">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90BDF">
        <w:rPr>
          <w:rFonts w:ascii="Times New Roman" w:eastAsia="Times New Roman" w:hAnsi="Times New Roman" w:cs="Times New Roman"/>
          <w:color w:val="000000"/>
          <w:sz w:val="24"/>
          <w:szCs w:val="26"/>
          <w:lang w:eastAsia="tr-TR"/>
        </w:rPr>
        <w:t>Bu düzenleme dikkate alındığında memurlar ve diğer kamu görevlileri aleyhine, yetkilerini kullanmalarından kaynaklanan zararlar nedeniyle tazminat davası açılamaz. Anayasada bunun istisnası da düzenlenmemiştir. Nitekim 657 sayılı Devlet Memurları Kanunu 06/06/1990 tarihli, 3657 sayılı Yasa ile değişik 13/1. maddesinde, 11/11/1983 tarihli, 2954 sayılı Türkiye Radyo ve Televizyon Kanunu'nun 28/4. maddesinde, 3222 sayılı ve 2004 sayılı İcra ve İflas Kanunu'nun 06/06/1985 tarihli Yasa ile değişik 5. maddesinde, Anayasa'nın anılan maddesine uygun hükümler getirilmiştir.</w:t>
      </w:r>
    </w:p>
    <w:p w:rsidR="00790BDF" w:rsidRDefault="00790BDF" w:rsidP="00790BDF">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90BDF">
        <w:rPr>
          <w:rFonts w:ascii="Times New Roman" w:eastAsia="Times New Roman" w:hAnsi="Times New Roman" w:cs="Times New Roman"/>
          <w:color w:val="000000"/>
          <w:sz w:val="24"/>
          <w:szCs w:val="26"/>
          <w:lang w:eastAsia="tr-TR"/>
        </w:rPr>
        <w:t>Yukarıda açıklanan Anayasa hükmü dikkate alındığında, memurlar ve diğer kamu görevlilerinin yetkilerini kullanırken verdikleri zararlar nedeniyle tazminat davası idareye karşı açılması gerekir. Memur ve kamu görevlileri aleyhine tazminat davası açılamaz. Davaya konu olayımızda uygulanması gereken 2577 sayılı İdari Yargılama Usulü Kanunu'nun 28/4. maddesine göre ise mahkeme kararını yerine getirmeyen kamu görevlisine dava açılabileceği belirtilmektedir. Şu durumda bu düzenleme Anayasa'nın 129/5. maddesine aykırıdır.</w:t>
      </w:r>
    </w:p>
    <w:p w:rsidR="00790BDF" w:rsidRDefault="00790BDF" w:rsidP="00790BDF">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90BDF">
        <w:rPr>
          <w:rFonts w:ascii="Times New Roman" w:eastAsia="Times New Roman" w:hAnsi="Times New Roman" w:cs="Times New Roman"/>
          <w:color w:val="000000"/>
          <w:sz w:val="24"/>
          <w:szCs w:val="26"/>
          <w:lang w:eastAsia="tr-TR"/>
        </w:rPr>
        <w:t>Anayasa'nın geçici 15. maddesi gereğince 2577 sayılı Kanunu'nun 28/4. maddesinin Anayasa'ya aykırılığı ileri sürülemiyordu. Ancak Anayasa'nın geçici 15. maddesi 07/05/2010 tarihli, 5982 sayılı Kanun'un 24. maddesi gereğince yürürlükten kaldırılmıştır.</w:t>
      </w:r>
    </w:p>
    <w:p w:rsidR="00790BDF" w:rsidRPr="00790BDF" w:rsidRDefault="00790BDF" w:rsidP="00790BDF">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790BDF">
        <w:rPr>
          <w:rFonts w:ascii="Times New Roman" w:eastAsia="Times New Roman" w:hAnsi="Times New Roman" w:cs="Times New Roman"/>
          <w:color w:val="000000"/>
          <w:sz w:val="24"/>
          <w:szCs w:val="26"/>
          <w:lang w:eastAsia="tr-TR"/>
        </w:rPr>
        <w:t>Tüm bu açıklamalar dikkate alındığında, eldeki Anamur Asliye Hukuk Mahkemesi'nin 2010/1598 esas, 2011/141 karar sayılı dosyanın temyiz incelemesi aşamasında, dava konusu olayda uygulanması gereken 2577 sayılı İdari Yargılama Usulü Kanunu'nun 28/4. maddesinde belirtilen 'kararı yerine getirmeyen kamu görevlisi aleyhine de tazminat davası açılabilir' cümlesinin Anayasa'nın 129/5. maddesine aykırı olduğu Dairemizce re'sen gözetilerek anılan Yasada belirtilen cümlenin iptali için Anayasa Mahkemesi'ne başvurmak gerekmiştir.'"</w:t>
      </w:r>
    </w:p>
    <w:p w:rsidR="00CE1FB9" w:rsidRPr="00790BDF" w:rsidRDefault="00CE1FB9" w:rsidP="00790BDF">
      <w:pPr>
        <w:spacing w:before="100" w:beforeAutospacing="1" w:after="100" w:afterAutospacing="1" w:line="240" w:lineRule="auto"/>
        <w:ind w:firstLine="709"/>
        <w:jc w:val="both"/>
        <w:rPr>
          <w:rFonts w:ascii="Times New Roman" w:hAnsi="Times New Roman" w:cs="Times New Roman"/>
          <w:sz w:val="24"/>
        </w:rPr>
      </w:pPr>
    </w:p>
    <w:sectPr w:rsidR="00CE1FB9" w:rsidRPr="00790B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E56" w:rsidRDefault="00BD2E56" w:rsidP="00790BDF">
      <w:pPr>
        <w:spacing w:after="0" w:line="240" w:lineRule="auto"/>
      </w:pPr>
      <w:r>
        <w:separator/>
      </w:r>
    </w:p>
  </w:endnote>
  <w:endnote w:type="continuationSeparator" w:id="0">
    <w:p w:rsidR="00BD2E56" w:rsidRDefault="00BD2E56" w:rsidP="00790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DF" w:rsidRDefault="00790BDF" w:rsidP="006745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0BDF" w:rsidRDefault="00790BDF" w:rsidP="00790B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DF" w:rsidRPr="00790BDF" w:rsidRDefault="00790BDF" w:rsidP="0067458F">
    <w:pPr>
      <w:pStyle w:val="Altbilgi"/>
      <w:framePr w:wrap="around" w:vAnchor="text" w:hAnchor="margin" w:xAlign="right" w:y="1"/>
      <w:rPr>
        <w:rStyle w:val="SayfaNumaras"/>
        <w:rFonts w:ascii="Times New Roman" w:hAnsi="Times New Roman" w:cs="Times New Roman"/>
      </w:rPr>
    </w:pPr>
    <w:r w:rsidRPr="00790BDF">
      <w:rPr>
        <w:rStyle w:val="SayfaNumaras"/>
        <w:rFonts w:ascii="Times New Roman" w:hAnsi="Times New Roman" w:cs="Times New Roman"/>
      </w:rPr>
      <w:fldChar w:fldCharType="begin"/>
    </w:r>
    <w:r w:rsidRPr="00790BDF">
      <w:rPr>
        <w:rStyle w:val="SayfaNumaras"/>
        <w:rFonts w:ascii="Times New Roman" w:hAnsi="Times New Roman" w:cs="Times New Roman"/>
      </w:rPr>
      <w:instrText xml:space="preserve">PAGE  </w:instrText>
    </w:r>
    <w:r w:rsidRPr="00790B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0BDF">
      <w:rPr>
        <w:rStyle w:val="SayfaNumaras"/>
        <w:rFonts w:ascii="Times New Roman" w:hAnsi="Times New Roman" w:cs="Times New Roman"/>
      </w:rPr>
      <w:fldChar w:fldCharType="end"/>
    </w:r>
  </w:p>
  <w:p w:rsidR="00790BDF" w:rsidRPr="00790BDF" w:rsidRDefault="00790BDF" w:rsidP="00790B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E56" w:rsidRDefault="00BD2E56" w:rsidP="00790BDF">
      <w:pPr>
        <w:spacing w:after="0" w:line="240" w:lineRule="auto"/>
      </w:pPr>
      <w:r>
        <w:separator/>
      </w:r>
    </w:p>
  </w:footnote>
  <w:footnote w:type="continuationSeparator" w:id="0">
    <w:p w:rsidR="00BD2E56" w:rsidRDefault="00BD2E56" w:rsidP="00790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DF" w:rsidRPr="003E493C" w:rsidRDefault="00790BDF" w:rsidP="00790B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E493C">
      <w:rPr>
        <w:rFonts w:ascii="Times New Roman" w:eastAsia="Times New Roman" w:hAnsi="Times New Roman" w:cs="Times New Roman"/>
        <w:b/>
        <w:bCs/>
        <w:color w:val="000000"/>
        <w:sz w:val="24"/>
        <w:szCs w:val="26"/>
        <w:lang w:eastAsia="tr-TR"/>
      </w:rPr>
      <w:t>Esas Sayısı : 2012/22</w:t>
    </w:r>
  </w:p>
  <w:p w:rsidR="00790BDF" w:rsidRPr="003E493C" w:rsidRDefault="00790BDF" w:rsidP="00790BD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E493C">
      <w:rPr>
        <w:rFonts w:ascii="Times New Roman" w:eastAsia="Times New Roman" w:hAnsi="Times New Roman" w:cs="Times New Roman"/>
        <w:b/>
        <w:bCs/>
        <w:color w:val="000000"/>
        <w:sz w:val="24"/>
        <w:szCs w:val="26"/>
        <w:lang w:eastAsia="tr-TR"/>
      </w:rPr>
      <w:t>Karar Sayısı : 2012/133</w:t>
    </w:r>
  </w:p>
  <w:p w:rsidR="00790BDF" w:rsidRPr="00790BDF" w:rsidRDefault="00790BDF" w:rsidP="00790B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DF"/>
    <w:rsid w:val="00790BDF"/>
    <w:rsid w:val="00BD2E5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88654-70D0-460A-B5B0-9EFF35F5B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90B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
    <w:name w:val="gvdemetni"/>
    <w:basedOn w:val="Normal"/>
    <w:rsid w:val="00790B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0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0BDF"/>
  </w:style>
  <w:style w:type="paragraph" w:styleId="Altbilgi">
    <w:name w:val="footer"/>
    <w:basedOn w:val="Normal"/>
    <w:link w:val="AltbilgiChar"/>
    <w:uiPriority w:val="99"/>
    <w:unhideWhenUsed/>
    <w:rsid w:val="00790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0BDF"/>
  </w:style>
  <w:style w:type="character" w:styleId="SayfaNumaras">
    <w:name w:val="page number"/>
    <w:basedOn w:val="VarsaylanParagrafYazTipi"/>
    <w:uiPriority w:val="99"/>
    <w:semiHidden/>
    <w:unhideWhenUsed/>
    <w:rsid w:val="00790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2845</Characters>
  <Application>Microsoft Office Word</Application>
  <DocSecurity>0</DocSecurity>
  <Lines>23</Lines>
  <Paragraphs>6</Paragraphs>
  <ScaleCrop>false</ScaleCrop>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2019-02-07T12:18:00Z</dcterms:created>
  <dcterms:modified xsi:type="dcterms:W3CDTF">2019-02-07T12:19:00Z</dcterms:modified>
</cp:coreProperties>
</file>