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70474">
        <w:rPr>
          <w:rFonts w:ascii="Times New Roman" w:eastAsia="Times New Roman" w:hAnsi="Times New Roman" w:cs="Times New Roman"/>
          <w:b/>
          <w:bCs/>
          <w:color w:val="000000"/>
          <w:sz w:val="24"/>
          <w:szCs w:val="24"/>
          <w:lang w:eastAsia="tr-TR"/>
        </w:rPr>
        <w:t>"...</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70474">
        <w:rPr>
          <w:rFonts w:ascii="Times New Roman" w:eastAsia="Times New Roman" w:hAnsi="Times New Roman" w:cs="Times New Roman"/>
          <w:b/>
          <w:bCs/>
          <w:color w:val="000000"/>
          <w:sz w:val="24"/>
          <w:szCs w:val="24"/>
          <w:lang w:eastAsia="tr-TR"/>
        </w:rPr>
        <w:t>II- İTİRAZIN ve yürütmeyi durdurma isteminin GEREKÇESİ</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Başvuru kararının gerekçe bölümü şö</w:t>
      </w:r>
      <w:bookmarkStart w:id="0" w:name="_GoBack"/>
      <w:bookmarkEnd w:id="0"/>
      <w:r w:rsidRPr="00C70474">
        <w:rPr>
          <w:rFonts w:ascii="Times New Roman" w:eastAsia="Times New Roman" w:hAnsi="Times New Roman" w:cs="Times New Roman"/>
          <w:color w:val="000000"/>
          <w:sz w:val="24"/>
          <w:szCs w:val="24"/>
          <w:lang w:eastAsia="tr-TR"/>
        </w:rPr>
        <w:t>yledir:</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'2709 sayılı Türkiye Cumhuriyeti Anayasasının Temel Hak ve Hürriyetlerin Sınırlanması başlıklı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 yer alırken, Eğitim ve Öğrenim Hakkı ve Ödevi başlıklı 42. maddesinde ise; kimsenin eğitim ve öğrenim hakkından yoksun bırakılamayacağı, öğrenim hakkının kapsamının kanunla tespit edileceğe ve düzenleneceği kurala bağlanmıştır.</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2547 sayılı Yükseköğretim Kanunu'nun 'Öğrencilerin Disiplin İşleri' başlıklı 54. maddesinin (g) fıkrasında; 'Yükseköğretim kurumundan çıkarma kararı bütün yükseköğretim kurumlarına, Yükseköğretim Kurulu, emniyet makamları ve ilgili askerlik şubelerine bildirilir, Yükseköğretim kurumundan çıkarma cezası verilen öğrenciler, bir daha herhangi başka bir yükseköğretim kurumuna alınmazlar.' hükmüne yer verilmiştir.</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Anayasa'nın 13. maddesinde; temel hak ve hürriyetlerin, yalnızca Anayasa'nın ilgi</w:t>
      </w:r>
      <w:r w:rsidRPr="00C70474">
        <w:rPr>
          <w:rFonts w:ascii="Times New Roman" w:eastAsia="Times New Roman" w:hAnsi="Times New Roman" w:cs="Times New Roman"/>
          <w:color w:val="000000"/>
          <w:sz w:val="24"/>
          <w:szCs w:val="24"/>
          <w:vertAlign w:val="superscript"/>
          <w:lang w:eastAsia="tr-TR"/>
        </w:rPr>
        <w:t>; </w:t>
      </w:r>
      <w:r w:rsidRPr="00C70474">
        <w:rPr>
          <w:rFonts w:ascii="Times New Roman" w:eastAsia="Times New Roman" w:hAnsi="Times New Roman" w:cs="Times New Roman"/>
          <w:color w:val="000000"/>
          <w:sz w:val="24"/>
          <w:szCs w:val="24"/>
          <w:lang w:eastAsia="tr-TR"/>
        </w:rPr>
        <w:t>maddelerinde belirtilen sebeplere bağlı olarak sınırlanabileceği belirtilmiş, 42, maddesinde ise herhangi bir sınırlama sebebi sayılmamış, buna karşılık, kimsenin eğitim ve öğrenim hakkından yoksun bırakılamayacağı düzenlenmiştir. Ancak 2547 sayılı Yasa'nın 54. maddesinde. Yükseköğretim kurumundan çıkarma cezası verilen öğrencilerin, bir daha herhangi başka bir yükseköğretim kurumuna alınamayacakları hüküm altına alınmıştır.</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Yine Anayasa'nın 13. maddesinde; temel hak ve hürriyetlerin, özlerine dokunulmaksızın sınırlanabileceği ve sınırlamanın demokratik toplum düzeninin gereklerine ve ölçülülük ilkesine aykırı olamayacağı düzenlenmiştir. Ancak daha önce gerçekleştirdiği herhangi bir eylemden dolayı yükseköğretim kurumundan çıkarma cezası alan kimselerin, bir daha başka bir yükseköğretim kurumuna alınmaması, Anayasa'nın 42. maddesinin güvence altına aldığı ve kişilere bir ödev olarak yüklediği eğitim ve öğrenim hakkına yapılmış bir müdahale niteliğinde olacaktır. Ayrıca, hem öze dokunmama ve ölçülülük ilkelerine, hem de demokratik toplum düzeninin gereklerine aykırılık teşkil edecektir.</w:t>
      </w:r>
    </w:p>
    <w:p w:rsidR="00C70474" w:rsidRPr="00C70474" w:rsidRDefault="00C70474" w:rsidP="00C704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70474">
        <w:rPr>
          <w:rFonts w:ascii="Times New Roman" w:eastAsia="Times New Roman" w:hAnsi="Times New Roman" w:cs="Times New Roman"/>
          <w:color w:val="000000"/>
          <w:sz w:val="24"/>
          <w:szCs w:val="24"/>
          <w:lang w:eastAsia="tr-TR"/>
        </w:rPr>
        <w:t>Bu nedenle, yükseköğretim kurumundan çıkarma cezası verilen öğrencilerin, bir daha herhangi başka bir yükseköğretim kurumuna alınmayacağı hususunun, Anayasa'nın 42 maddesindeki 'kimsenin eğitim ve öğretim hakkından yoksun bırakılamayacağı' kuralına aykırı düşmesi nedeniyle Anayasaya aykırılık iddiası ciddi bulunmuştur.'"</w:t>
      </w:r>
    </w:p>
    <w:p w:rsidR="00CE1FB9" w:rsidRPr="00C70474" w:rsidRDefault="00CE1FB9" w:rsidP="00C70474">
      <w:pPr>
        <w:spacing w:before="100" w:beforeAutospacing="1" w:after="100" w:afterAutospacing="1" w:line="240" w:lineRule="auto"/>
        <w:ind w:firstLine="709"/>
        <w:jc w:val="both"/>
        <w:rPr>
          <w:rFonts w:ascii="Times New Roman" w:hAnsi="Times New Roman" w:cs="Times New Roman"/>
          <w:sz w:val="24"/>
        </w:rPr>
      </w:pPr>
    </w:p>
    <w:sectPr w:rsidR="00CE1FB9" w:rsidRPr="00C7047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E39" w:rsidRDefault="00B31E39" w:rsidP="00C70474">
      <w:pPr>
        <w:spacing w:after="0" w:line="240" w:lineRule="auto"/>
      </w:pPr>
      <w:r>
        <w:separator/>
      </w:r>
    </w:p>
  </w:endnote>
  <w:endnote w:type="continuationSeparator" w:id="0">
    <w:p w:rsidR="00B31E39" w:rsidRDefault="00B31E39" w:rsidP="00C70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74" w:rsidRDefault="00C70474" w:rsidP="00D73A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70474" w:rsidRDefault="00C70474" w:rsidP="00C704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74" w:rsidRPr="00C70474" w:rsidRDefault="00C70474" w:rsidP="00D73AAC">
    <w:pPr>
      <w:pStyle w:val="Altbilgi"/>
      <w:framePr w:wrap="around" w:vAnchor="text" w:hAnchor="margin" w:xAlign="right" w:y="1"/>
      <w:rPr>
        <w:rStyle w:val="SayfaNumaras"/>
        <w:rFonts w:ascii="Times New Roman" w:hAnsi="Times New Roman" w:cs="Times New Roman"/>
      </w:rPr>
    </w:pPr>
    <w:r w:rsidRPr="00C70474">
      <w:rPr>
        <w:rStyle w:val="SayfaNumaras"/>
        <w:rFonts w:ascii="Times New Roman" w:hAnsi="Times New Roman" w:cs="Times New Roman"/>
      </w:rPr>
      <w:fldChar w:fldCharType="begin"/>
    </w:r>
    <w:r w:rsidRPr="00C70474">
      <w:rPr>
        <w:rStyle w:val="SayfaNumaras"/>
        <w:rFonts w:ascii="Times New Roman" w:hAnsi="Times New Roman" w:cs="Times New Roman"/>
      </w:rPr>
      <w:instrText xml:space="preserve">PAGE  </w:instrText>
    </w:r>
    <w:r w:rsidRPr="00C7047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70474">
      <w:rPr>
        <w:rStyle w:val="SayfaNumaras"/>
        <w:rFonts w:ascii="Times New Roman" w:hAnsi="Times New Roman" w:cs="Times New Roman"/>
      </w:rPr>
      <w:fldChar w:fldCharType="end"/>
    </w:r>
  </w:p>
  <w:p w:rsidR="00C70474" w:rsidRPr="00C70474" w:rsidRDefault="00C70474" w:rsidP="00C7047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E39" w:rsidRDefault="00B31E39" w:rsidP="00C70474">
      <w:pPr>
        <w:spacing w:after="0" w:line="240" w:lineRule="auto"/>
      </w:pPr>
      <w:r>
        <w:separator/>
      </w:r>
    </w:p>
  </w:footnote>
  <w:footnote w:type="continuationSeparator" w:id="0">
    <w:p w:rsidR="00B31E39" w:rsidRDefault="00B31E39" w:rsidP="00C704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74" w:rsidRPr="009C2825" w:rsidRDefault="00C70474" w:rsidP="00C704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C2825">
      <w:rPr>
        <w:rFonts w:ascii="Times New Roman" w:eastAsia="Times New Roman" w:hAnsi="Times New Roman" w:cs="Times New Roman"/>
        <w:b/>
        <w:bCs/>
        <w:color w:val="000000"/>
        <w:sz w:val="24"/>
        <w:szCs w:val="26"/>
        <w:lang w:eastAsia="tr-TR"/>
      </w:rPr>
      <w:t xml:space="preserve">Esas </w:t>
    </w:r>
    <w:proofErr w:type="gramStart"/>
    <w:r w:rsidRPr="009C2825">
      <w:rPr>
        <w:rFonts w:ascii="Times New Roman" w:eastAsia="Times New Roman" w:hAnsi="Times New Roman" w:cs="Times New Roman"/>
        <w:b/>
        <w:bCs/>
        <w:color w:val="000000"/>
        <w:sz w:val="24"/>
        <w:szCs w:val="26"/>
        <w:lang w:eastAsia="tr-TR"/>
      </w:rPr>
      <w:t>Sayısı : 2009</w:t>
    </w:r>
    <w:proofErr w:type="gramEnd"/>
    <w:r w:rsidRPr="009C2825">
      <w:rPr>
        <w:rFonts w:ascii="Times New Roman" w:eastAsia="Times New Roman" w:hAnsi="Times New Roman" w:cs="Times New Roman"/>
        <w:b/>
        <w:bCs/>
        <w:color w:val="000000"/>
        <w:sz w:val="24"/>
        <w:szCs w:val="26"/>
        <w:lang w:eastAsia="tr-TR"/>
      </w:rPr>
      <w:t>/59</w:t>
    </w:r>
  </w:p>
  <w:p w:rsidR="00C70474" w:rsidRPr="009C2825" w:rsidRDefault="00C70474" w:rsidP="00C7047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C2825">
      <w:rPr>
        <w:rFonts w:ascii="Times New Roman" w:eastAsia="Times New Roman" w:hAnsi="Times New Roman" w:cs="Times New Roman"/>
        <w:b/>
        <w:bCs/>
        <w:color w:val="000000"/>
        <w:sz w:val="24"/>
        <w:szCs w:val="26"/>
        <w:lang w:eastAsia="tr-TR"/>
      </w:rPr>
      <w:t xml:space="preserve">Karar </w:t>
    </w:r>
    <w:proofErr w:type="gramStart"/>
    <w:r w:rsidRPr="009C2825">
      <w:rPr>
        <w:rFonts w:ascii="Times New Roman" w:eastAsia="Times New Roman" w:hAnsi="Times New Roman" w:cs="Times New Roman"/>
        <w:b/>
        <w:bCs/>
        <w:color w:val="000000"/>
        <w:sz w:val="24"/>
        <w:szCs w:val="26"/>
        <w:lang w:eastAsia="tr-TR"/>
      </w:rPr>
      <w:t>Sayısı : 2011</w:t>
    </w:r>
    <w:proofErr w:type="gramEnd"/>
    <w:r w:rsidRPr="009C2825">
      <w:rPr>
        <w:rFonts w:ascii="Times New Roman" w:eastAsia="Times New Roman" w:hAnsi="Times New Roman" w:cs="Times New Roman"/>
        <w:b/>
        <w:bCs/>
        <w:color w:val="000000"/>
        <w:sz w:val="24"/>
        <w:szCs w:val="26"/>
        <w:lang w:eastAsia="tr-TR"/>
      </w:rPr>
      <w:t>/69</w:t>
    </w:r>
  </w:p>
  <w:p w:rsidR="00C70474" w:rsidRPr="00C70474" w:rsidRDefault="00C70474" w:rsidP="00C704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74"/>
    <w:rsid w:val="00B31E39"/>
    <w:rsid w:val="00C704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C1202-65FD-4CAD-9FCF-C8A6E397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7047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70474"/>
    <w:rPr>
      <w:rFonts w:ascii="Times New Roman" w:eastAsia="Times New Roman" w:hAnsi="Times New Roman" w:cs="Times New Roman"/>
      <w:b/>
      <w:bCs/>
      <w:sz w:val="36"/>
      <w:szCs w:val="36"/>
      <w:lang w:eastAsia="tr-TR"/>
    </w:rPr>
  </w:style>
  <w:style w:type="paragraph" w:styleId="GvdeMetni">
    <w:name w:val="Body Text"/>
    <w:basedOn w:val="Normal"/>
    <w:link w:val="GvdeMetniChar"/>
    <w:uiPriority w:val="99"/>
    <w:semiHidden/>
    <w:unhideWhenUsed/>
    <w:rsid w:val="00C704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C7047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04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70474"/>
  </w:style>
  <w:style w:type="paragraph" w:styleId="Altbilgi">
    <w:name w:val="footer"/>
    <w:basedOn w:val="Normal"/>
    <w:link w:val="AltbilgiChar"/>
    <w:uiPriority w:val="99"/>
    <w:unhideWhenUsed/>
    <w:rsid w:val="00C704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0474"/>
  </w:style>
  <w:style w:type="character" w:styleId="SayfaNumaras">
    <w:name w:val="page number"/>
    <w:basedOn w:val="VarsaylanParagrafYazTipi"/>
    <w:uiPriority w:val="99"/>
    <w:semiHidden/>
    <w:unhideWhenUsed/>
    <w:rsid w:val="00C7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5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2019-02-06T11:55:00Z</dcterms:created>
  <dcterms:modified xsi:type="dcterms:W3CDTF">2019-02-06T11:55:00Z</dcterms:modified>
</cp:coreProperties>
</file>