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80" w:rsidRP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12980">
        <w:rPr>
          <w:rFonts w:ascii="Times New Roman" w:eastAsia="Times New Roman" w:hAnsi="Times New Roman" w:cs="Times New Roman"/>
          <w:b/>
          <w:bCs/>
          <w:color w:val="000000"/>
          <w:sz w:val="24"/>
          <w:szCs w:val="26"/>
          <w:lang w:eastAsia="tr-TR"/>
        </w:rPr>
        <w:t>"...</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b/>
          <w:bCs/>
          <w:color w:val="000000"/>
          <w:sz w:val="24"/>
          <w:szCs w:val="26"/>
          <w:lang w:eastAsia="tr-TR"/>
        </w:rPr>
        <w:t>II- İTİRAZIN GEREKÇESİ</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Başvuru kararının gerekçe bölümü şöy</w:t>
      </w:r>
      <w:bookmarkStart w:id="0" w:name="_GoBack"/>
      <w:bookmarkEnd w:id="0"/>
      <w:r w:rsidRPr="00612980">
        <w:rPr>
          <w:rFonts w:ascii="Times New Roman" w:eastAsia="Times New Roman" w:hAnsi="Times New Roman" w:cs="Times New Roman"/>
          <w:color w:val="000000"/>
          <w:sz w:val="24"/>
          <w:szCs w:val="26"/>
          <w:lang w:eastAsia="tr-TR"/>
        </w:rPr>
        <w:t>ledir:</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 (') 4.10.2008 günlü ve 27014 sayılı Resmi Gazete'de yayımlanarak yürürlüğe giren Enerji Piyasası Düzenleme Kurumu Teşkilatı ve Personelinin Çalışma Usul ve Esasları Hakkında Yönetmelikte Değişiklik Yapılmasına Dair Yönetmeliğin 14. maddesi ile anılan Yönetmeliğe eklenen Geçici 3. maddenin, aynı Yönetmeliğin 15. maddesinin iptaline ve yürütülmesinin durdurulmasına karar verilmesi istemiyle Başbakanlık ve Enerji Piyasası Düzenleme Kurumu Başkanlığı'na karşı açılan davada; davacının, dava konusu Yönetmeliğin dayanağını oluşturan 4628 sayılı Elektrik Piyasası Kanunu'nun 9. maddesinin birinci fıkrasının; Anayasa'nın 7. ve 123/1. ve 128/2. maddelerine aykırılığı iddiasıyla dosyanın Anayasa Mahkemesi'ne gönderilmesine karar verilmesi istemi incelendi:</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4628 sayılı Elektrik Piyasası Kanunu'nun 'Kurum Personelinin statüsü, atanma usulü ve özlük hakları' başlıklı 9. maddesinin birinci fıkrasında; 'Kurumun hizmet birimleri; Kurum görev ve yetkilerinin gerektirdiği sayıda daire başkanlıkları şeklinde teşkilatlanmış ana hizmet birimleri, danışma birimleri ve yardımcı hizmet birimlerinden oluşur. Kurumun hizmet birimleri ile bunların görev ve sorumlulukları, kadro unvanları ve sayıları Kurul'un önerisi üzerine Bakanlar Kurulu tarafından çıkarılacak yönetmelikle düzenlenir.' hükmü yer almıştır.</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19.1.2002 günlü, 24645 sayılı Resmi Gazete'de yayımlanan Enerji Piyasası</w:t>
      </w:r>
      <w:r w:rsidRPr="00612980">
        <w:rPr>
          <w:rFonts w:ascii="Times New Roman" w:eastAsia="Times New Roman" w:hAnsi="Times New Roman" w:cs="Times New Roman"/>
          <w:color w:val="000000"/>
          <w:sz w:val="24"/>
          <w:szCs w:val="26"/>
          <w:lang w:eastAsia="tr-TR"/>
        </w:rPr>
        <w:br/>
        <w:t>Düzenleme Kurumu Teşkilatı ve Personelinin Çalışma Usul ve Esasları Hakkında</w:t>
      </w:r>
      <w:r w:rsidRPr="00612980">
        <w:rPr>
          <w:rFonts w:ascii="Times New Roman" w:eastAsia="Times New Roman" w:hAnsi="Times New Roman" w:cs="Times New Roman"/>
          <w:color w:val="000000"/>
          <w:sz w:val="24"/>
          <w:szCs w:val="26"/>
          <w:lang w:eastAsia="tr-TR"/>
        </w:rPr>
        <w:br/>
        <w:t>Yönetmeliğin 'Kapsam' başlıklı 2. maddesinde; 'Enerji Piyasası Düzenleme Kurumu'nun</w:t>
      </w:r>
      <w:r w:rsidRPr="00612980">
        <w:rPr>
          <w:rFonts w:ascii="Times New Roman" w:eastAsia="Times New Roman" w:hAnsi="Times New Roman" w:cs="Times New Roman"/>
          <w:color w:val="000000"/>
          <w:sz w:val="24"/>
          <w:szCs w:val="26"/>
          <w:lang w:eastAsia="tr-TR"/>
        </w:rPr>
        <w:br/>
        <w:t>teşkilatı, hizmet birimleri ve bu birimlerin görev ve sorumlulukları, kadro unvan ve sayıları,</w:t>
      </w:r>
      <w:r w:rsidRPr="00612980">
        <w:rPr>
          <w:rFonts w:ascii="Times New Roman" w:eastAsia="Times New Roman" w:hAnsi="Times New Roman" w:cs="Times New Roman"/>
          <w:color w:val="000000"/>
          <w:sz w:val="24"/>
          <w:szCs w:val="26"/>
          <w:lang w:eastAsia="tr-TR"/>
        </w:rPr>
        <w:br/>
        <w:t>personelin ücret ve mali hakları ile sosyal güvenlik hakları ve durumları bu Yönetmelikte</w:t>
      </w:r>
      <w:r w:rsidRPr="00612980">
        <w:rPr>
          <w:rFonts w:ascii="Times New Roman" w:eastAsia="Times New Roman" w:hAnsi="Times New Roman" w:cs="Times New Roman"/>
          <w:color w:val="000000"/>
          <w:sz w:val="24"/>
          <w:szCs w:val="26"/>
          <w:lang w:eastAsia="tr-TR"/>
        </w:rPr>
        <w:br/>
        <w:t>düzenlenmiştir.' hükmüne, 'Dayanak' başlıklı 3. maddesinde; 'Bu Yönetmelik 20.2.2001</w:t>
      </w:r>
      <w:r w:rsidRPr="00612980">
        <w:rPr>
          <w:rFonts w:ascii="Times New Roman" w:eastAsia="Times New Roman" w:hAnsi="Times New Roman" w:cs="Times New Roman"/>
          <w:color w:val="000000"/>
          <w:sz w:val="24"/>
          <w:szCs w:val="26"/>
          <w:lang w:eastAsia="tr-TR"/>
        </w:rPr>
        <w:br/>
        <w:t>günlü, 4628 sayılı Elektrik Piyasası Kanunu'nun 9. maddesine dayanılarak hazırlanmıştır.'</w:t>
      </w:r>
      <w:r w:rsidRPr="00612980">
        <w:rPr>
          <w:rFonts w:ascii="Times New Roman" w:eastAsia="Times New Roman" w:hAnsi="Times New Roman" w:cs="Times New Roman"/>
          <w:color w:val="000000"/>
          <w:sz w:val="24"/>
          <w:szCs w:val="26"/>
          <w:lang w:eastAsia="tr-TR"/>
        </w:rPr>
        <w:br/>
        <w:t>hükmüne, 'Kadro, Unvan ve Sayıları' başlıklı 22. maddesinde; 'Kurum asli ve sürekli</w:t>
      </w:r>
      <w:r w:rsidRPr="00612980">
        <w:rPr>
          <w:rFonts w:ascii="Times New Roman" w:eastAsia="Times New Roman" w:hAnsi="Times New Roman" w:cs="Times New Roman"/>
          <w:color w:val="000000"/>
          <w:sz w:val="24"/>
          <w:szCs w:val="26"/>
          <w:lang w:eastAsia="tr-TR"/>
        </w:rPr>
        <w:br/>
        <w:t>hizmetlerinin yürütülebilmesi için gerekli kadrolara ait unvanlar ile sayılarına ekli I sayılı</w:t>
      </w:r>
      <w:r w:rsidRPr="00612980">
        <w:rPr>
          <w:rFonts w:ascii="Times New Roman" w:eastAsia="Times New Roman" w:hAnsi="Times New Roman" w:cs="Times New Roman"/>
          <w:color w:val="000000"/>
          <w:sz w:val="24"/>
          <w:szCs w:val="26"/>
          <w:lang w:eastAsia="tr-TR"/>
        </w:rPr>
        <w:br/>
        <w:t>cetvelde yer verilmiştir. Kadro, unvan ve sayılarının kurum hizmet birimleri itibariyle dağılımını yapmaya Kurul yetkilidir. Kurumun uzmanlık gerektiren hizmetlerinde, Kurul kararıyla ve sayıları 50'yi geçmemek üzere sözleşmeli yerli ve yabancı uzman istihdam edilir.' hükmüne yer verilmiş, ekli (I) sayılı cetvelde kadro unvan ve sayıları belirlenmiştir.</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4.10.2008 günlü, 27014 sayılı Resmi Gazete'de yayımlanan yukarıda belirtilen</w:t>
      </w:r>
      <w:r w:rsidRPr="00612980">
        <w:rPr>
          <w:rFonts w:ascii="Times New Roman" w:eastAsia="Times New Roman" w:hAnsi="Times New Roman" w:cs="Times New Roman"/>
          <w:color w:val="000000"/>
          <w:sz w:val="24"/>
          <w:szCs w:val="26"/>
          <w:lang w:eastAsia="tr-TR"/>
        </w:rPr>
        <w:br/>
        <w:t>Yönetmelikte değişiklik yapılmasına dair Yönetmeliğin 14. maddesi ile anılan Yönetmeliğe</w:t>
      </w:r>
      <w:r w:rsidRPr="00612980">
        <w:rPr>
          <w:rFonts w:ascii="Times New Roman" w:eastAsia="Times New Roman" w:hAnsi="Times New Roman" w:cs="Times New Roman"/>
          <w:color w:val="000000"/>
          <w:sz w:val="24"/>
          <w:szCs w:val="26"/>
          <w:lang w:eastAsia="tr-TR"/>
        </w:rPr>
        <w:br/>
        <w:t>eklenen Geçici 3. maddede; 'Bu Yönetmeliğin yayımlandığı tarihte Büro Görevlisi kadrosunda bulunanlar başka hiç bir işleme gerek kalmaksızın Yönetim Görevlisi kadrosuna atanmış sayılırlar. Kadrosu kaldırılmış olanlar ise, durumlarına uygun münhal kadrolara atanırlar.' hükmü düzenlenmiş, 15. maddesinde; 'Aynı Yönetmeliğin eki (I) sayılı cetvel ekte yer aldığı şekilde değiştirilmiştir.' hükmü ile ekli (I) sayılı cetvelde kadro unvan ve sayıları belirlenmiştir.</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 xml:space="preserve">4628 sayılı Yasayla oluşturulan Enerji Piyasası Düzenleme Kurumu'nun çalışma usul ve esasları aynı Yasayla belirlenmiştir. Yasayla kurulmuş kamu tüzel kişisi olan Kurumun hizmet birimlerinin ve bu birimlerin kadro unvan ve sayılarının da yasayla belirlenmesi gerekirken yönetmelik ile düzenleneceği yolunda hüküm getiren 4628 sayılı Yasa'nın 9. </w:t>
      </w:r>
      <w:r w:rsidRPr="00612980">
        <w:rPr>
          <w:rFonts w:ascii="Times New Roman" w:eastAsia="Times New Roman" w:hAnsi="Times New Roman" w:cs="Times New Roman"/>
          <w:color w:val="000000"/>
          <w:sz w:val="24"/>
          <w:szCs w:val="26"/>
          <w:lang w:eastAsia="tr-TR"/>
        </w:rPr>
        <w:lastRenderedPageBreak/>
        <w:t>maddesinin birinci fıkrasının Anayasa'nın 7., 123. maddesinin birinci fıkrası ve 128. maddesi ikinci fıkrasına aykırı olduğu sonucuna varılmıştır.</w:t>
      </w:r>
    </w:p>
    <w:p w:rsid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Anayasa Mahkemesi'nin 20.11.2003 günlü, E:2002/32, K:2003/100 sayılı kararı ile 4733 sayılı Yasa ile oluşturulan Tütün, Tütün Mamulleri ve Alkollü İçkiler Piyasası Düzenleme Kurumu'nun hizmet birimleri ile bunların görev ve sorumlulukları, kadro unvanları, sayıları ve kurum personelinin emeklilik statülerinin belirlenmesi açısından durumu, kurumların önerisi üzerine Bakanlar Kurulu tarafından çıkarılacak yönetmelikle ile düzenleneceğine ilişkin 9. maddesinin A bendinin 2 numaralı alt bendi Anayasa'nın 7 nci maddesine, 123. maddesinin birinci fıkrasına ve 128. maddesinin ikinci fıkrasına aykırı görülerek iptal edilmiştir.</w:t>
      </w:r>
    </w:p>
    <w:p w:rsidR="00612980" w:rsidRPr="00612980" w:rsidRDefault="00612980" w:rsidP="006129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2980">
        <w:rPr>
          <w:rFonts w:ascii="Times New Roman" w:eastAsia="Times New Roman" w:hAnsi="Times New Roman" w:cs="Times New Roman"/>
          <w:color w:val="000000"/>
          <w:sz w:val="24"/>
          <w:szCs w:val="26"/>
          <w:lang w:eastAsia="tr-TR"/>
        </w:rPr>
        <w:t>Bir davaya bakmakta olan Mahkemenin, taraflardan birinin ileri sürdüğü aykırılık savının ciddi olduğu kanısına varması durumunda tarafların bu konudaki sav ve savunmalarını ve kendisini bu kanıya götüren görüşünü açıklayan kararı ile Anayasa Mahkemesi'ne başvurması gerektiğini düzenleyen 2949 sayılı Yasa'nın 28. maddesinin 2. fıkrası gereğince, 4628 sayılı Elektrik Piyasası Kanunu'nun 9. maddesinin birinci fıkrasının iptali ve yürütmesinin durdurulması için Anayasa Mahkemesi'ne başvurulmasına, dosyada bulunan ilgili belgelerin onaylı birer örneğinin Anayasa Mahkemesi Başkanlığı'na gönderilmesine, Anayasa Mahkemesi'nin bu konuda vereceği karara kadar davanın geri bırakılmasına, 9.10.2009 tarihinde oybirliğiyle karar verildi.'"</w:t>
      </w:r>
    </w:p>
    <w:p w:rsidR="00CE1FB9" w:rsidRPr="00612980" w:rsidRDefault="00CE1FB9" w:rsidP="00612980">
      <w:pPr>
        <w:spacing w:before="100" w:beforeAutospacing="1" w:after="100" w:afterAutospacing="1" w:line="240" w:lineRule="auto"/>
        <w:ind w:firstLine="709"/>
        <w:jc w:val="both"/>
        <w:rPr>
          <w:rFonts w:ascii="Times New Roman" w:hAnsi="Times New Roman" w:cs="Times New Roman"/>
          <w:sz w:val="24"/>
        </w:rPr>
      </w:pPr>
    </w:p>
    <w:sectPr w:rsidR="00CE1FB9" w:rsidRPr="0061298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16" w:rsidRDefault="00BA3916" w:rsidP="00612980">
      <w:pPr>
        <w:spacing w:after="0" w:line="240" w:lineRule="auto"/>
      </w:pPr>
      <w:r>
        <w:separator/>
      </w:r>
    </w:p>
  </w:endnote>
  <w:endnote w:type="continuationSeparator" w:id="0">
    <w:p w:rsidR="00BA3916" w:rsidRDefault="00BA3916" w:rsidP="0061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80" w:rsidRDefault="00612980" w:rsidP="00541E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2980" w:rsidRDefault="00612980" w:rsidP="006129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80" w:rsidRPr="00612980" w:rsidRDefault="00612980" w:rsidP="00541EB7">
    <w:pPr>
      <w:pStyle w:val="Altbilgi"/>
      <w:framePr w:wrap="around" w:vAnchor="text" w:hAnchor="margin" w:xAlign="right" w:y="1"/>
      <w:rPr>
        <w:rStyle w:val="SayfaNumaras"/>
        <w:rFonts w:ascii="Times New Roman" w:hAnsi="Times New Roman" w:cs="Times New Roman"/>
      </w:rPr>
    </w:pPr>
    <w:r w:rsidRPr="00612980">
      <w:rPr>
        <w:rStyle w:val="SayfaNumaras"/>
        <w:rFonts w:ascii="Times New Roman" w:hAnsi="Times New Roman" w:cs="Times New Roman"/>
      </w:rPr>
      <w:fldChar w:fldCharType="begin"/>
    </w:r>
    <w:r w:rsidRPr="00612980">
      <w:rPr>
        <w:rStyle w:val="SayfaNumaras"/>
        <w:rFonts w:ascii="Times New Roman" w:hAnsi="Times New Roman" w:cs="Times New Roman"/>
      </w:rPr>
      <w:instrText xml:space="preserve">PAGE  </w:instrText>
    </w:r>
    <w:r w:rsidRPr="0061298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2980">
      <w:rPr>
        <w:rStyle w:val="SayfaNumaras"/>
        <w:rFonts w:ascii="Times New Roman" w:hAnsi="Times New Roman" w:cs="Times New Roman"/>
      </w:rPr>
      <w:fldChar w:fldCharType="end"/>
    </w:r>
  </w:p>
  <w:p w:rsidR="00612980" w:rsidRPr="00612980" w:rsidRDefault="00612980" w:rsidP="006129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16" w:rsidRDefault="00BA3916" w:rsidP="00612980">
      <w:pPr>
        <w:spacing w:after="0" w:line="240" w:lineRule="auto"/>
      </w:pPr>
      <w:r>
        <w:separator/>
      </w:r>
    </w:p>
  </w:footnote>
  <w:footnote w:type="continuationSeparator" w:id="0">
    <w:p w:rsidR="00BA3916" w:rsidRDefault="00BA3916" w:rsidP="00612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80" w:rsidRPr="00A357ED" w:rsidRDefault="00612980" w:rsidP="006129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57ED">
      <w:rPr>
        <w:rFonts w:ascii="Times New Roman" w:eastAsia="Times New Roman" w:hAnsi="Times New Roman" w:cs="Times New Roman"/>
        <w:b/>
        <w:bCs/>
        <w:color w:val="000000"/>
        <w:sz w:val="24"/>
        <w:szCs w:val="26"/>
        <w:lang w:eastAsia="tr-TR"/>
      </w:rPr>
      <w:t>Esas Sayısı : 2009/90</w:t>
    </w:r>
  </w:p>
  <w:p w:rsidR="00612980" w:rsidRPr="00A357ED" w:rsidRDefault="00612980" w:rsidP="0061298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57ED">
      <w:rPr>
        <w:rFonts w:ascii="Times New Roman" w:eastAsia="Times New Roman" w:hAnsi="Times New Roman" w:cs="Times New Roman"/>
        <w:b/>
        <w:bCs/>
        <w:color w:val="000000"/>
        <w:sz w:val="24"/>
        <w:szCs w:val="26"/>
        <w:lang w:eastAsia="tr-TR"/>
      </w:rPr>
      <w:t>Karar Sayısı : 2011/47</w:t>
    </w:r>
  </w:p>
  <w:p w:rsidR="00612980" w:rsidRPr="00612980" w:rsidRDefault="00612980" w:rsidP="006129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80"/>
    <w:rsid w:val="00612980"/>
    <w:rsid w:val="00BA39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0EA2D-C203-4C78-945F-622E05E1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29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2980"/>
  </w:style>
  <w:style w:type="paragraph" w:styleId="Altbilgi">
    <w:name w:val="footer"/>
    <w:basedOn w:val="Normal"/>
    <w:link w:val="AltbilgiChar"/>
    <w:uiPriority w:val="99"/>
    <w:unhideWhenUsed/>
    <w:rsid w:val="006129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2980"/>
  </w:style>
  <w:style w:type="character" w:styleId="SayfaNumaras">
    <w:name w:val="page number"/>
    <w:basedOn w:val="VarsaylanParagrafYazTipi"/>
    <w:uiPriority w:val="99"/>
    <w:semiHidden/>
    <w:unhideWhenUsed/>
    <w:rsid w:val="0061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2019-02-06T06:40:00Z</dcterms:created>
  <dcterms:modified xsi:type="dcterms:W3CDTF">2019-02-06T06:41:00Z</dcterms:modified>
</cp:coreProperties>
</file>