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742" w:rsidRPr="00B15742" w:rsidRDefault="00B15742" w:rsidP="00B1574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B15742">
        <w:rPr>
          <w:rFonts w:ascii="Times New Roman" w:eastAsia="Times New Roman" w:hAnsi="Times New Roman" w:cs="Times New Roman"/>
          <w:b/>
          <w:bCs/>
          <w:color w:val="000000"/>
          <w:sz w:val="24"/>
          <w:szCs w:val="26"/>
          <w:lang w:eastAsia="tr-TR"/>
        </w:rPr>
        <w:t>"...</w:t>
      </w:r>
    </w:p>
    <w:p w:rsidR="00B15742" w:rsidRPr="00B15742" w:rsidRDefault="00B15742" w:rsidP="00B157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15742">
        <w:rPr>
          <w:rFonts w:ascii="Times New Roman" w:eastAsia="Times New Roman" w:hAnsi="Times New Roman" w:cs="Times New Roman"/>
          <w:b/>
          <w:bCs/>
          <w:color w:val="000000"/>
          <w:sz w:val="24"/>
          <w:szCs w:val="26"/>
          <w:lang w:eastAsia="tr-TR"/>
        </w:rPr>
        <w:t>II- İTİRAZIN GEREKÇESİ</w:t>
      </w:r>
      <w:bookmarkStart w:id="0" w:name="_GoBack"/>
      <w:bookmarkEnd w:id="0"/>
    </w:p>
    <w:p w:rsidR="00B15742" w:rsidRPr="00B15742" w:rsidRDefault="00B15742" w:rsidP="00B157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15742">
        <w:rPr>
          <w:rFonts w:ascii="Times New Roman" w:eastAsia="Times New Roman" w:hAnsi="Times New Roman" w:cs="Times New Roman"/>
          <w:color w:val="000000"/>
          <w:sz w:val="24"/>
          <w:szCs w:val="26"/>
          <w:lang w:eastAsia="tr-TR"/>
        </w:rPr>
        <w:t>Başvuru kararının gerekçe bölümü şöyledir:</w:t>
      </w:r>
    </w:p>
    <w:p w:rsidR="00B15742" w:rsidRPr="00B15742" w:rsidRDefault="00B15742" w:rsidP="00B157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15742">
        <w:rPr>
          <w:rFonts w:ascii="Times New Roman" w:eastAsia="Times New Roman" w:hAnsi="Times New Roman" w:cs="Times New Roman"/>
          <w:color w:val="000000"/>
          <w:sz w:val="24"/>
          <w:szCs w:val="26"/>
          <w:lang w:eastAsia="tr-TR"/>
        </w:rPr>
        <w:t xml:space="preserve">'Sanık </w:t>
      </w:r>
      <w:proofErr w:type="spellStart"/>
      <w:proofErr w:type="gramStart"/>
      <w:r w:rsidRPr="00B15742">
        <w:rPr>
          <w:rFonts w:ascii="Times New Roman" w:eastAsia="Times New Roman" w:hAnsi="Times New Roman" w:cs="Times New Roman"/>
          <w:color w:val="000000"/>
          <w:sz w:val="24"/>
          <w:szCs w:val="26"/>
          <w:lang w:eastAsia="tr-TR"/>
        </w:rPr>
        <w:t>Hv.Ulş</w:t>
      </w:r>
      <w:proofErr w:type="gramEnd"/>
      <w:r w:rsidRPr="00B15742">
        <w:rPr>
          <w:rFonts w:ascii="Times New Roman" w:eastAsia="Times New Roman" w:hAnsi="Times New Roman" w:cs="Times New Roman"/>
          <w:color w:val="000000"/>
          <w:sz w:val="24"/>
          <w:szCs w:val="26"/>
          <w:lang w:eastAsia="tr-TR"/>
        </w:rPr>
        <w:t>.Er</w:t>
      </w:r>
      <w:proofErr w:type="spellEnd"/>
      <w:r w:rsidRPr="00B15742">
        <w:rPr>
          <w:rFonts w:ascii="Times New Roman" w:eastAsia="Times New Roman" w:hAnsi="Times New Roman" w:cs="Times New Roman"/>
          <w:color w:val="000000"/>
          <w:sz w:val="24"/>
          <w:szCs w:val="26"/>
          <w:lang w:eastAsia="tr-TR"/>
        </w:rPr>
        <w:t xml:space="preserve"> A. K.'</w:t>
      </w:r>
      <w:proofErr w:type="spellStart"/>
      <w:r w:rsidRPr="00B15742">
        <w:rPr>
          <w:rFonts w:ascii="Times New Roman" w:eastAsia="Times New Roman" w:hAnsi="Times New Roman" w:cs="Times New Roman"/>
          <w:color w:val="000000"/>
          <w:sz w:val="24"/>
          <w:szCs w:val="26"/>
          <w:lang w:eastAsia="tr-TR"/>
        </w:rPr>
        <w:t>nın</w:t>
      </w:r>
      <w:proofErr w:type="spellEnd"/>
      <w:r w:rsidRPr="00B15742">
        <w:rPr>
          <w:rFonts w:ascii="Times New Roman" w:eastAsia="Times New Roman" w:hAnsi="Times New Roman" w:cs="Times New Roman"/>
          <w:color w:val="000000"/>
          <w:sz w:val="24"/>
          <w:szCs w:val="26"/>
          <w:lang w:eastAsia="tr-TR"/>
        </w:rPr>
        <w:t xml:space="preserve"> </w:t>
      </w:r>
      <w:proofErr w:type="spellStart"/>
      <w:r w:rsidRPr="00B15742">
        <w:rPr>
          <w:rFonts w:ascii="Times New Roman" w:eastAsia="Times New Roman" w:hAnsi="Times New Roman" w:cs="Times New Roman"/>
          <w:color w:val="000000"/>
          <w:sz w:val="24"/>
          <w:szCs w:val="26"/>
          <w:lang w:eastAsia="tr-TR"/>
        </w:rPr>
        <w:t>As.C.K'nun</w:t>
      </w:r>
      <w:proofErr w:type="spellEnd"/>
      <w:r w:rsidRPr="00B15742">
        <w:rPr>
          <w:rFonts w:ascii="Times New Roman" w:eastAsia="Times New Roman" w:hAnsi="Times New Roman" w:cs="Times New Roman"/>
          <w:color w:val="000000"/>
          <w:sz w:val="24"/>
          <w:szCs w:val="26"/>
          <w:lang w:eastAsia="tr-TR"/>
        </w:rPr>
        <w:t xml:space="preserve"> 87/1 madde ve fıkrasının 1'inci cümlesi gereğince Askeri Mahkememizde yargılanması için Askeri Savcılık tarafından düzenlenen iddianame ile dava açılmıştır. Sanığın cezalandırılması talep edilen </w:t>
      </w:r>
      <w:proofErr w:type="gramStart"/>
      <w:r w:rsidRPr="00B15742">
        <w:rPr>
          <w:rFonts w:ascii="Times New Roman" w:eastAsia="Times New Roman" w:hAnsi="Times New Roman" w:cs="Times New Roman"/>
          <w:color w:val="000000"/>
          <w:sz w:val="24"/>
          <w:szCs w:val="26"/>
          <w:lang w:eastAsia="tr-TR"/>
        </w:rPr>
        <w:t>As.C</w:t>
      </w:r>
      <w:proofErr w:type="gramEnd"/>
      <w:r w:rsidRPr="00B15742">
        <w:rPr>
          <w:rFonts w:ascii="Times New Roman" w:eastAsia="Times New Roman" w:hAnsi="Times New Roman" w:cs="Times New Roman"/>
          <w:color w:val="000000"/>
          <w:sz w:val="24"/>
          <w:szCs w:val="26"/>
          <w:lang w:eastAsia="tr-TR"/>
        </w:rPr>
        <w:t>.K.'</w:t>
      </w:r>
      <w:proofErr w:type="spellStart"/>
      <w:r w:rsidRPr="00B15742">
        <w:rPr>
          <w:rFonts w:ascii="Times New Roman" w:eastAsia="Times New Roman" w:hAnsi="Times New Roman" w:cs="Times New Roman"/>
          <w:color w:val="000000"/>
          <w:sz w:val="24"/>
          <w:szCs w:val="26"/>
          <w:lang w:eastAsia="tr-TR"/>
        </w:rPr>
        <w:t>nun</w:t>
      </w:r>
      <w:proofErr w:type="spellEnd"/>
      <w:r w:rsidRPr="00B15742">
        <w:rPr>
          <w:rFonts w:ascii="Times New Roman" w:eastAsia="Times New Roman" w:hAnsi="Times New Roman" w:cs="Times New Roman"/>
          <w:color w:val="000000"/>
          <w:sz w:val="24"/>
          <w:szCs w:val="26"/>
          <w:lang w:eastAsia="tr-TR"/>
        </w:rPr>
        <w:t xml:space="preserve"> 87/1 madde ve fıkrasının 1'inci cümlesinde hizmete ilişkin emri hiç yapmayan asker kişilerin bir aydan bir seneye kadar cezalandırılacakları belirtilmiştir. 353 sayılı Askeri Mahkemeler Kuruluşu ve Yargılama Usulü Kanununun 'Tek </w:t>
      </w:r>
      <w:proofErr w:type="gramStart"/>
      <w:r w:rsidRPr="00B15742">
        <w:rPr>
          <w:rFonts w:ascii="Times New Roman" w:eastAsia="Times New Roman" w:hAnsi="Times New Roman" w:cs="Times New Roman"/>
          <w:color w:val="000000"/>
          <w:sz w:val="24"/>
          <w:szCs w:val="26"/>
          <w:lang w:eastAsia="tr-TR"/>
        </w:rPr>
        <w:t>hakimle</w:t>
      </w:r>
      <w:proofErr w:type="gramEnd"/>
      <w:r w:rsidRPr="00B15742">
        <w:rPr>
          <w:rFonts w:ascii="Times New Roman" w:eastAsia="Times New Roman" w:hAnsi="Times New Roman" w:cs="Times New Roman"/>
          <w:color w:val="000000"/>
          <w:sz w:val="24"/>
          <w:szCs w:val="26"/>
          <w:lang w:eastAsia="tr-TR"/>
        </w:rPr>
        <w:t xml:space="preserve"> ve Kurulla bakılacak işler' başlıklı 19'uncu maddesinin 1'inci fıkrası aşağıdaki şekilde düzenlenmiştir.</w:t>
      </w:r>
    </w:p>
    <w:p w:rsidR="00B15742" w:rsidRPr="00B15742" w:rsidRDefault="00B15742" w:rsidP="00B157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15742">
        <w:rPr>
          <w:rFonts w:ascii="Times New Roman" w:eastAsia="Times New Roman" w:hAnsi="Times New Roman" w:cs="Times New Roman"/>
          <w:color w:val="000000"/>
          <w:sz w:val="24"/>
          <w:szCs w:val="26"/>
          <w:lang w:eastAsia="tr-TR"/>
        </w:rPr>
        <w:t xml:space="preserve">'Subay ve astsubayların işledikleri suçlara ait davalar ile ağır ceza mahkemesinin görevine giren suçlara ait davalar hariç olmak üzere, üst sınırı beş yıla kadar (beş yıl </w:t>
      </w:r>
      <w:proofErr w:type="gramStart"/>
      <w:r w:rsidRPr="00B15742">
        <w:rPr>
          <w:rFonts w:ascii="Times New Roman" w:eastAsia="Times New Roman" w:hAnsi="Times New Roman" w:cs="Times New Roman"/>
          <w:color w:val="000000"/>
          <w:sz w:val="24"/>
          <w:szCs w:val="26"/>
          <w:lang w:eastAsia="tr-TR"/>
        </w:rPr>
        <w:t>dahil</w:t>
      </w:r>
      <w:proofErr w:type="gramEnd"/>
      <w:r w:rsidRPr="00B15742">
        <w:rPr>
          <w:rFonts w:ascii="Times New Roman" w:eastAsia="Times New Roman" w:hAnsi="Times New Roman" w:cs="Times New Roman"/>
          <w:color w:val="000000"/>
          <w:sz w:val="24"/>
          <w:szCs w:val="26"/>
          <w:lang w:eastAsia="tr-TR"/>
        </w:rPr>
        <w:t>) hapis cezaları ve bunlara bağlı adli para cezaları ile bağımsız olarak hükmedilecek adli para cezalarını ve güvenlik tedbirlerini gerektiren Askeri Ceza Kanununda ve diğer kanunlarda yazılı suçlara ait davalara ve suç konusu olmayan eşyanın müsaderesine tek hakim tarafından bakılır.'</w:t>
      </w:r>
    </w:p>
    <w:p w:rsidR="00B15742" w:rsidRPr="00B15742" w:rsidRDefault="00B15742" w:rsidP="00B157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15742">
        <w:rPr>
          <w:rFonts w:ascii="Times New Roman" w:eastAsia="Times New Roman" w:hAnsi="Times New Roman" w:cs="Times New Roman"/>
          <w:color w:val="000000"/>
          <w:sz w:val="24"/>
          <w:szCs w:val="26"/>
          <w:lang w:eastAsia="tr-TR"/>
        </w:rPr>
        <w:t xml:space="preserve">353 sayılı Kanunun yukarıda belirtilen 19/1 madde ve fıkrası gereğince tek </w:t>
      </w:r>
      <w:proofErr w:type="gramStart"/>
      <w:r w:rsidRPr="00B15742">
        <w:rPr>
          <w:rFonts w:ascii="Times New Roman" w:eastAsia="Times New Roman" w:hAnsi="Times New Roman" w:cs="Times New Roman"/>
          <w:color w:val="000000"/>
          <w:sz w:val="24"/>
          <w:szCs w:val="26"/>
          <w:lang w:eastAsia="tr-TR"/>
        </w:rPr>
        <w:t>hakimden</w:t>
      </w:r>
      <w:proofErr w:type="gramEnd"/>
      <w:r w:rsidRPr="00B15742">
        <w:rPr>
          <w:rFonts w:ascii="Times New Roman" w:eastAsia="Times New Roman" w:hAnsi="Times New Roman" w:cs="Times New Roman"/>
          <w:color w:val="000000"/>
          <w:sz w:val="24"/>
          <w:szCs w:val="26"/>
          <w:lang w:eastAsia="tr-TR"/>
        </w:rPr>
        <w:t xml:space="preserve"> kurulu mahkeme heyeti sanığı yargılamaya başlamıştır. Sanıkta bu durumun Anayasa'ya aykırı olduğunu iddia etmiştir.</w:t>
      </w:r>
    </w:p>
    <w:p w:rsidR="00B15742" w:rsidRPr="00B15742" w:rsidRDefault="00B15742" w:rsidP="00B157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15742">
        <w:rPr>
          <w:rFonts w:ascii="Times New Roman" w:eastAsia="Times New Roman" w:hAnsi="Times New Roman" w:cs="Times New Roman"/>
          <w:color w:val="000000"/>
          <w:sz w:val="24"/>
          <w:szCs w:val="26"/>
          <w:lang w:eastAsia="tr-TR"/>
        </w:rPr>
        <w:t>6000 sayılı Kanunla yapılan değişiklikle 353 sayılı Kanunun 19'uncu maddesinin 1 'inci fıkrası yukarıdaki şekilde düzenlenmiştir.</w:t>
      </w:r>
    </w:p>
    <w:p w:rsidR="00B15742" w:rsidRPr="00B15742" w:rsidRDefault="00B15742" w:rsidP="00B157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15742">
        <w:rPr>
          <w:rFonts w:ascii="Times New Roman" w:eastAsia="Times New Roman" w:hAnsi="Times New Roman" w:cs="Times New Roman"/>
          <w:color w:val="000000"/>
          <w:sz w:val="24"/>
          <w:szCs w:val="26"/>
          <w:lang w:eastAsia="tr-TR"/>
        </w:rPr>
        <w:t xml:space="preserve">Buna göre subay ve astsubaylar işledikleri bütün suçlar sebebi ile 3 </w:t>
      </w:r>
      <w:proofErr w:type="gramStart"/>
      <w:r w:rsidRPr="00B15742">
        <w:rPr>
          <w:rFonts w:ascii="Times New Roman" w:eastAsia="Times New Roman" w:hAnsi="Times New Roman" w:cs="Times New Roman"/>
          <w:color w:val="000000"/>
          <w:sz w:val="24"/>
          <w:szCs w:val="26"/>
          <w:lang w:eastAsia="tr-TR"/>
        </w:rPr>
        <w:t>hakimden</w:t>
      </w:r>
      <w:proofErr w:type="gramEnd"/>
      <w:r w:rsidRPr="00B15742">
        <w:rPr>
          <w:rFonts w:ascii="Times New Roman" w:eastAsia="Times New Roman" w:hAnsi="Times New Roman" w:cs="Times New Roman"/>
          <w:color w:val="000000"/>
          <w:sz w:val="24"/>
          <w:szCs w:val="26"/>
          <w:lang w:eastAsia="tr-TR"/>
        </w:rPr>
        <w:t xml:space="preserve"> oluşan kurul halindeki Askeri Mahkemede yargılanmaktadırlar. Ağır Ceza Mahkemesinin görevine giren suçlar hariç olmak üzere üst sınırı 5 yıla kadar hapis cezası olan suçları işledikleri iddia olunan Uzman Jandarma, Uzman Erbaşlar, Erbaş ve Erler ise tek hâkimden oluşan Askeri Mahkemede yargılanmaktadırlar. Adliye Mahkemelerinin görev ve yetkilerini düzenleyen 5235 sayılı Kanunda Sulh Ceza, Asliye Ceza ve Ağır Ceza Mahkemelerinin görevleri sayılmıştır. Bu mahkemelerin görevleri belirlenirken verilecek cezanın sınırları ile suçların vasıfları tek tek sayılmıştır. Bu mahkemelerde yargılanacak sanıkların statüleri dikkate alınmamıştır. Yalnızca cezanın süresi ve suçun vasfı dikkate alınmıştır.</w:t>
      </w:r>
    </w:p>
    <w:p w:rsidR="00B15742" w:rsidRPr="00B15742" w:rsidRDefault="00B15742" w:rsidP="00B157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15742">
        <w:rPr>
          <w:rFonts w:ascii="Times New Roman" w:eastAsia="Times New Roman" w:hAnsi="Times New Roman" w:cs="Times New Roman"/>
          <w:color w:val="000000"/>
          <w:sz w:val="24"/>
          <w:szCs w:val="26"/>
          <w:lang w:eastAsia="tr-TR"/>
        </w:rPr>
        <w:t>Yukarıda belirtildiği üzere 353 sayılı Kanunun 19/1 madde ve fıkrasında ise Askeri Mahkemede yargılanacak sanıkların statüleri dikkate alınmıştır. Kurul halinde yargılama yapan mahkemelerin daha teminatlı olduğu bilinen bir durumdur. Ceza süresi fazla olan suçları işleyen sanıklar kuruldan oluşan Ağır Ceza Mahkemelerinde yargılanmaktadırlar.</w:t>
      </w:r>
    </w:p>
    <w:p w:rsidR="00B15742" w:rsidRPr="00B15742" w:rsidRDefault="00B15742" w:rsidP="00B157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15742">
        <w:rPr>
          <w:rFonts w:ascii="Times New Roman" w:eastAsia="Times New Roman" w:hAnsi="Times New Roman" w:cs="Times New Roman"/>
          <w:color w:val="000000"/>
          <w:sz w:val="24"/>
          <w:szCs w:val="26"/>
          <w:lang w:eastAsia="tr-TR"/>
        </w:rPr>
        <w:t xml:space="preserve">Askeri Mahkemelerde subay ve astsubayların işledikleri her suçtan kurul halindeki mahkemede yargılanmaları ve Uzman Çavuşlar ile Erbaş ve Erlerin 5 yıla kadar hapis cezası gerektiren suçlarda tek </w:t>
      </w:r>
      <w:proofErr w:type="gramStart"/>
      <w:r w:rsidRPr="00B15742">
        <w:rPr>
          <w:rFonts w:ascii="Times New Roman" w:eastAsia="Times New Roman" w:hAnsi="Times New Roman" w:cs="Times New Roman"/>
          <w:color w:val="000000"/>
          <w:sz w:val="24"/>
          <w:szCs w:val="26"/>
          <w:lang w:eastAsia="tr-TR"/>
        </w:rPr>
        <w:t>hakimden</w:t>
      </w:r>
      <w:proofErr w:type="gramEnd"/>
      <w:r w:rsidRPr="00B15742">
        <w:rPr>
          <w:rFonts w:ascii="Times New Roman" w:eastAsia="Times New Roman" w:hAnsi="Times New Roman" w:cs="Times New Roman"/>
          <w:color w:val="000000"/>
          <w:sz w:val="24"/>
          <w:szCs w:val="26"/>
          <w:lang w:eastAsia="tr-TR"/>
        </w:rPr>
        <w:t xml:space="preserve"> oluşan mahkemede yargılanmaları hukuka aykırı olarak değerlendirilmiştir. Bir subay ile uzman çavuşun veya astsubay ile bir erin birlikte veya ayrı olarak aynı suçu işlemeleri halinde farklı mahkemelerde yargılanmaları gerekmektedir. Bu ise hukukun evrensel ilkelerine ve Türkiye Cumhuriyeti Anayasası'na aykırıdır. Türkiye Cumhuriyeti Anayasası'nın 2 ve 10'uncu maddeleri aşağıdaki şekilde düzenlenmiştir.</w:t>
      </w:r>
    </w:p>
    <w:p w:rsidR="00B15742" w:rsidRPr="00B15742" w:rsidRDefault="00B15742" w:rsidP="00B157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15742">
        <w:rPr>
          <w:rFonts w:ascii="Times New Roman" w:eastAsia="Times New Roman" w:hAnsi="Times New Roman" w:cs="Times New Roman"/>
          <w:color w:val="000000"/>
          <w:sz w:val="24"/>
          <w:szCs w:val="26"/>
          <w:lang w:eastAsia="tr-TR"/>
        </w:rPr>
        <w:lastRenderedPageBreak/>
        <w:t>'MADDE 2. Türkiye Cumhuriyeti, toplumun huzuru, milli dayanışma ve adalet anlayışı içinde, insan haklarına saygılı, Atatürk milliyetçiliğine bağlı, başlangıçta belirtilen temel ilkelere dayanan, demokratik, lâik ve sosyal bir hukuk Devletidir.'</w:t>
      </w:r>
    </w:p>
    <w:p w:rsidR="00B15742" w:rsidRPr="00B15742" w:rsidRDefault="00B15742" w:rsidP="00B157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15742">
        <w:rPr>
          <w:rFonts w:ascii="Times New Roman" w:eastAsia="Times New Roman" w:hAnsi="Times New Roman" w:cs="Times New Roman"/>
          <w:color w:val="000000"/>
          <w:sz w:val="24"/>
          <w:szCs w:val="26"/>
          <w:lang w:eastAsia="tr-TR"/>
        </w:rPr>
        <w:t>'MADDE 10. Herkes, dil, ırk, renk, cinsiyet, siyasî düşünce, felsefi inanç, din, mezhep ve benzeri sebeplerle ayırım gözetilmeksizin kanun önünde eşittir.</w:t>
      </w:r>
    </w:p>
    <w:p w:rsidR="00B15742" w:rsidRPr="00B15742" w:rsidRDefault="00B15742" w:rsidP="00B157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15742">
        <w:rPr>
          <w:rFonts w:ascii="Times New Roman" w:eastAsia="Times New Roman" w:hAnsi="Times New Roman" w:cs="Times New Roman"/>
          <w:color w:val="000000"/>
          <w:sz w:val="24"/>
          <w:szCs w:val="26"/>
          <w:lang w:eastAsia="tr-TR"/>
        </w:rPr>
        <w:t>Kadınlar ve erkekler eşit haklara sahiptir. Devlet, bu eşitliğin yaşama geçmesini sağlamakla yükümlüdür. Bu maksatla alınacak tedbirler eşitlik ilkesine aykırı olarak yorumlanamaz.</w:t>
      </w:r>
    </w:p>
    <w:p w:rsidR="00B15742" w:rsidRPr="00B15742" w:rsidRDefault="00B15742" w:rsidP="00B157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15742">
        <w:rPr>
          <w:rFonts w:ascii="Times New Roman" w:eastAsia="Times New Roman" w:hAnsi="Times New Roman" w:cs="Times New Roman"/>
          <w:color w:val="000000"/>
          <w:sz w:val="24"/>
          <w:szCs w:val="26"/>
          <w:lang w:eastAsia="tr-TR"/>
        </w:rPr>
        <w:t>Çocuklar, yaşlılar, özürlüler, harp ve vazife şehitlerin dul ve yetimleri ile malul ve gaziler için alınacak tedbirler eşitlik ilkesine aykırı sayılmaz.</w:t>
      </w:r>
    </w:p>
    <w:p w:rsidR="00B15742" w:rsidRPr="00B15742" w:rsidRDefault="00B15742" w:rsidP="00B157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15742">
        <w:rPr>
          <w:rFonts w:ascii="Times New Roman" w:eastAsia="Times New Roman" w:hAnsi="Times New Roman" w:cs="Times New Roman"/>
          <w:color w:val="000000"/>
          <w:sz w:val="24"/>
          <w:szCs w:val="26"/>
          <w:lang w:eastAsia="tr-TR"/>
        </w:rPr>
        <w:t>Hiçbir kişiye, aileye, zümreye veya sınıfa imtiyaz tanınamaz.</w:t>
      </w:r>
    </w:p>
    <w:p w:rsidR="00B15742" w:rsidRPr="00B15742" w:rsidRDefault="00B15742" w:rsidP="00B157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15742">
        <w:rPr>
          <w:rFonts w:ascii="Times New Roman" w:eastAsia="Times New Roman" w:hAnsi="Times New Roman" w:cs="Times New Roman"/>
          <w:color w:val="000000"/>
          <w:sz w:val="24"/>
          <w:szCs w:val="26"/>
          <w:lang w:eastAsia="tr-TR"/>
        </w:rPr>
        <w:t>Devlet organları ve idare makamları bütün işlemlerinde kanun önünde eşitlik ilkesine uygun hareket etmek zorundadırlar.'</w:t>
      </w:r>
    </w:p>
    <w:p w:rsidR="00B15742" w:rsidRPr="00B15742" w:rsidRDefault="00B15742" w:rsidP="00B157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15742">
        <w:rPr>
          <w:rFonts w:ascii="Times New Roman" w:eastAsia="Times New Roman" w:hAnsi="Times New Roman" w:cs="Times New Roman"/>
          <w:color w:val="000000"/>
          <w:sz w:val="24"/>
          <w:szCs w:val="26"/>
          <w:lang w:eastAsia="tr-TR"/>
        </w:rPr>
        <w:t>Anayasasının 2 ve 10'uncu maddelerinden anlaşıldığı üzere Türkiye Cumhuriyeti bir Hukuk Devleti olup kanun önünde herkes eşittir.</w:t>
      </w:r>
    </w:p>
    <w:p w:rsidR="00B15742" w:rsidRPr="00B15742" w:rsidRDefault="00B15742" w:rsidP="00B157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15742">
        <w:rPr>
          <w:rFonts w:ascii="Times New Roman" w:eastAsia="Times New Roman" w:hAnsi="Times New Roman" w:cs="Times New Roman"/>
          <w:color w:val="000000"/>
          <w:sz w:val="24"/>
          <w:szCs w:val="26"/>
          <w:lang w:eastAsia="tr-TR"/>
        </w:rPr>
        <w:t>Tüm bu sebepler dikkate alınarak 353 sayılı Askeri Mahkemeler Kuruluşu ve Yargılama Usulü Kanununun 19/1 madde ve fıkrasının Türkiye Cumhuriyeti Anayasa'sına aykırı olduğu değerlendirilmiş ve Anayasa Mahkemesine 353 sayılı Kanunun 19'uncu maddesinin 1'inci fıkrasının iptali için başvurulmasına karar verilmiştir.'"</w:t>
      </w:r>
    </w:p>
    <w:p w:rsidR="00CE1FB9" w:rsidRPr="00B15742" w:rsidRDefault="00CE1FB9" w:rsidP="00B15742">
      <w:pPr>
        <w:spacing w:before="100" w:beforeAutospacing="1" w:after="100" w:afterAutospacing="1" w:line="240" w:lineRule="auto"/>
        <w:ind w:firstLine="709"/>
        <w:jc w:val="both"/>
        <w:rPr>
          <w:rFonts w:ascii="Times New Roman" w:hAnsi="Times New Roman" w:cs="Times New Roman"/>
          <w:sz w:val="24"/>
        </w:rPr>
      </w:pPr>
    </w:p>
    <w:sectPr w:rsidR="00CE1FB9" w:rsidRPr="00B1574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D05" w:rsidRDefault="00587D05" w:rsidP="00B15742">
      <w:pPr>
        <w:spacing w:after="0" w:line="240" w:lineRule="auto"/>
      </w:pPr>
      <w:r>
        <w:separator/>
      </w:r>
    </w:p>
  </w:endnote>
  <w:endnote w:type="continuationSeparator" w:id="0">
    <w:p w:rsidR="00587D05" w:rsidRDefault="00587D05" w:rsidP="00B15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742" w:rsidRDefault="00B15742" w:rsidP="00481F8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15742" w:rsidRDefault="00B15742" w:rsidP="00B1574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742" w:rsidRPr="00B15742" w:rsidRDefault="00B15742" w:rsidP="00481F8E">
    <w:pPr>
      <w:pStyle w:val="Altbilgi"/>
      <w:framePr w:wrap="around" w:vAnchor="text" w:hAnchor="margin" w:xAlign="right" w:y="1"/>
      <w:rPr>
        <w:rStyle w:val="SayfaNumaras"/>
        <w:rFonts w:ascii="Times New Roman" w:hAnsi="Times New Roman" w:cs="Times New Roman"/>
      </w:rPr>
    </w:pPr>
    <w:r w:rsidRPr="00B15742">
      <w:rPr>
        <w:rStyle w:val="SayfaNumaras"/>
        <w:rFonts w:ascii="Times New Roman" w:hAnsi="Times New Roman" w:cs="Times New Roman"/>
      </w:rPr>
      <w:fldChar w:fldCharType="begin"/>
    </w:r>
    <w:r w:rsidRPr="00B15742">
      <w:rPr>
        <w:rStyle w:val="SayfaNumaras"/>
        <w:rFonts w:ascii="Times New Roman" w:hAnsi="Times New Roman" w:cs="Times New Roman"/>
      </w:rPr>
      <w:instrText xml:space="preserve">PAGE  </w:instrText>
    </w:r>
    <w:r w:rsidRPr="00B1574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15742">
      <w:rPr>
        <w:rStyle w:val="SayfaNumaras"/>
        <w:rFonts w:ascii="Times New Roman" w:hAnsi="Times New Roman" w:cs="Times New Roman"/>
      </w:rPr>
      <w:fldChar w:fldCharType="end"/>
    </w:r>
  </w:p>
  <w:p w:rsidR="00B15742" w:rsidRPr="00B15742" w:rsidRDefault="00B15742" w:rsidP="00B1574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D05" w:rsidRDefault="00587D05" w:rsidP="00B15742">
      <w:pPr>
        <w:spacing w:after="0" w:line="240" w:lineRule="auto"/>
      </w:pPr>
      <w:r>
        <w:separator/>
      </w:r>
    </w:p>
  </w:footnote>
  <w:footnote w:type="continuationSeparator" w:id="0">
    <w:p w:rsidR="00587D05" w:rsidRDefault="00587D05" w:rsidP="00B157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742" w:rsidRPr="00E858CE" w:rsidRDefault="00B15742" w:rsidP="00B1574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858CE">
      <w:rPr>
        <w:rFonts w:ascii="Times New Roman" w:eastAsia="Times New Roman" w:hAnsi="Times New Roman" w:cs="Times New Roman"/>
        <w:b/>
        <w:bCs/>
        <w:color w:val="000000"/>
        <w:sz w:val="24"/>
        <w:szCs w:val="26"/>
        <w:lang w:eastAsia="tr-TR"/>
      </w:rPr>
      <w:t xml:space="preserve">Esas </w:t>
    </w:r>
    <w:proofErr w:type="gramStart"/>
    <w:r w:rsidRPr="00E858CE">
      <w:rPr>
        <w:rFonts w:ascii="Times New Roman" w:eastAsia="Times New Roman" w:hAnsi="Times New Roman" w:cs="Times New Roman"/>
        <w:b/>
        <w:bCs/>
        <w:color w:val="000000"/>
        <w:sz w:val="24"/>
        <w:szCs w:val="26"/>
        <w:lang w:eastAsia="tr-TR"/>
      </w:rPr>
      <w:t>Sayısı : 2010</w:t>
    </w:r>
    <w:proofErr w:type="gramEnd"/>
    <w:r w:rsidRPr="00E858CE">
      <w:rPr>
        <w:rFonts w:ascii="Times New Roman" w:eastAsia="Times New Roman" w:hAnsi="Times New Roman" w:cs="Times New Roman"/>
        <w:b/>
        <w:bCs/>
        <w:color w:val="000000"/>
        <w:sz w:val="24"/>
        <w:szCs w:val="26"/>
        <w:lang w:eastAsia="tr-TR"/>
      </w:rPr>
      <w:t>/114</w:t>
    </w:r>
  </w:p>
  <w:p w:rsidR="00B15742" w:rsidRPr="00B15742" w:rsidRDefault="00B15742" w:rsidP="00B15742">
    <w:pPr>
      <w:pStyle w:val="stbilgi"/>
    </w:pPr>
    <w:r w:rsidRPr="00E858CE">
      <w:rPr>
        <w:rFonts w:ascii="Times New Roman" w:eastAsia="Times New Roman" w:hAnsi="Times New Roman" w:cs="Times New Roman"/>
        <w:b/>
        <w:bCs/>
        <w:color w:val="000000"/>
        <w:sz w:val="24"/>
        <w:szCs w:val="26"/>
        <w:lang w:eastAsia="tr-TR"/>
      </w:rPr>
      <w:t xml:space="preserve">Karar </w:t>
    </w:r>
    <w:proofErr w:type="gramStart"/>
    <w:r w:rsidRPr="00E858CE">
      <w:rPr>
        <w:rFonts w:ascii="Times New Roman" w:eastAsia="Times New Roman" w:hAnsi="Times New Roman" w:cs="Times New Roman"/>
        <w:b/>
        <w:bCs/>
        <w:color w:val="000000"/>
        <w:sz w:val="24"/>
        <w:szCs w:val="26"/>
        <w:lang w:eastAsia="tr-TR"/>
      </w:rPr>
      <w:t>Sayısı : 2011</w:t>
    </w:r>
    <w:proofErr w:type="gramEnd"/>
    <w:r w:rsidRPr="00E858CE">
      <w:rPr>
        <w:rFonts w:ascii="Times New Roman" w:eastAsia="Times New Roman" w:hAnsi="Times New Roman" w:cs="Times New Roman"/>
        <w:b/>
        <w:bCs/>
        <w:color w:val="000000"/>
        <w:sz w:val="24"/>
        <w:szCs w:val="26"/>
        <w:lang w:eastAsia="tr-TR"/>
      </w:rPr>
      <w:t>/148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742"/>
    <w:rsid w:val="00587D05"/>
    <w:rsid w:val="00B1574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561A1-833A-420F-BA5D-651161F6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4">
    <w:name w:val="style4"/>
    <w:basedOn w:val="Normal"/>
    <w:rsid w:val="00B1574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12">
    <w:name w:val="fontstyle12"/>
    <w:basedOn w:val="VarsaylanParagrafYazTipi"/>
    <w:rsid w:val="00B15742"/>
  </w:style>
  <w:style w:type="character" w:customStyle="1" w:styleId="fontstyle11">
    <w:name w:val="fontstyle11"/>
    <w:basedOn w:val="VarsaylanParagrafYazTipi"/>
    <w:rsid w:val="00B15742"/>
  </w:style>
  <w:style w:type="paragraph" w:styleId="stbilgi">
    <w:name w:val="header"/>
    <w:basedOn w:val="Normal"/>
    <w:link w:val="stbilgiChar"/>
    <w:uiPriority w:val="99"/>
    <w:unhideWhenUsed/>
    <w:rsid w:val="00B1574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15742"/>
  </w:style>
  <w:style w:type="paragraph" w:styleId="Altbilgi">
    <w:name w:val="footer"/>
    <w:basedOn w:val="Normal"/>
    <w:link w:val="AltbilgiChar"/>
    <w:uiPriority w:val="99"/>
    <w:unhideWhenUsed/>
    <w:rsid w:val="00B157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15742"/>
  </w:style>
  <w:style w:type="character" w:styleId="SayfaNumaras">
    <w:name w:val="page number"/>
    <w:basedOn w:val="VarsaylanParagrafYazTipi"/>
    <w:uiPriority w:val="99"/>
    <w:semiHidden/>
    <w:unhideWhenUsed/>
    <w:rsid w:val="00B15742"/>
  </w:style>
  <w:style w:type="paragraph" w:styleId="NormalWeb">
    <w:name w:val="Normal (Web)"/>
    <w:basedOn w:val="Normal"/>
    <w:uiPriority w:val="99"/>
    <w:semiHidden/>
    <w:unhideWhenUsed/>
    <w:rsid w:val="00B1574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02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3871</Characters>
  <Application>Microsoft Office Word</Application>
  <DocSecurity>0</DocSecurity>
  <Lines>32</Lines>
  <Paragraphs>9</Paragraphs>
  <ScaleCrop>false</ScaleCrop>
  <Company/>
  <LinksUpToDate>false</LinksUpToDate>
  <CharactersWithSpaces>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2019-02-05T05:50:00Z</dcterms:created>
  <dcterms:modified xsi:type="dcterms:W3CDTF">2019-02-05T05:50:00Z</dcterms:modified>
</cp:coreProperties>
</file>