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6B6F" w:rsidRP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026B6F">
        <w:rPr>
          <w:rFonts w:ascii="Times New Roman" w:eastAsia="Times New Roman" w:hAnsi="Times New Roman" w:cs="Times New Roman"/>
          <w:color w:val="000000"/>
          <w:sz w:val="24"/>
          <w:szCs w:val="26"/>
          <w:lang w:eastAsia="tr-TR"/>
        </w:rPr>
        <w:t>"...</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I- İPTAL VE YÜRÜRLÜĞÜN DURDURULMASI İSTEMİNİN GEREKÇESİ</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İptal ve yürürlüğün durdurulması istemini içeren dava dilekçesinin gerekçe bölümü şöyledir:</w:t>
      </w:r>
      <w:bookmarkStart w:id="0" w:name="_GoBack"/>
      <w:bookmarkEnd w:id="0"/>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'5811 sayılı Yasa'nın 3 üncü maddesinin birinci fıkrasında, gerçek veya tüzel kişilerce, 01.10.2008 tarihi itibarıyla sahip olunan ve yurt dışında bulunan; para, altın, döviz, menkul kıymet ve diğer sermaye piyasası araçları ile varlığı kanaat verici bir belgeyle ispat edilen taşınmazların bu Kanunun yayımlandığı ayı izleyen üçüncü ayın sonuna kadar Yeni Türk Lirası cinsinden rayiç bedelle banka veya aracı kuruma bildirileceği ya da vergi dairelerine beyan edileceği; ikinci fıkrasında da, gelir veya kurumlar vergisi mükelleflerince sahip olunan ve Türkiye'de bulunan ancak 01.10.2008 tarihi itibarıyla kanuni defter kayıtlarında işletmenin özkaynakları arasında yer almayan para, altın, döviz, menkul kıymet ve diğer sermaye piyasası araçları ile taşınmazların aynı süre içinde Yeni Türk Lirası cinsinden rayiç bedelle vergi dairelerine beyan edileceği hükme bağlanmıştır.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İptali istenen cümle ile; birinci fıkraya göre beyan edilen yurt dışında bulunan varlıkların değerleri üzerinden yüzde 2, ikinci fıkraya göre beyan edilen Türkiye'de bulunan varlıkların değerleri üzerinden yüzde 5 oranında vergi alınması öngörülmekte, diğer bir anlatımla beyan edilen varlıkların yurt dışında veya yurt içinde bulunmasına göre vergi oranları farklılaştırılmaktadır.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Herkesin kamu giderlerini karşılamak üzere mali gücüne göre vergi ödemekle yükümlü bulunduğu, vergi yükünün adaletli ve dengeli dağılımının, maliye politikasının sosyal amacı olduğu, vergi, resim, harç ve benzeri mali yükümlülüklerin kanunla konulacağı, değiştirileceği veya kaldırılacağını hükme bağlayan Anayasanın 73 üncü maddesi ile vergilendirme ilkeleri açıklanmıştır.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Vergide genellik ilkesi, herhangi bir ayırım yapılmaksızın malî gücü olan herkesin vergi yüküne katılmasını ve vergi ödemesini ifade eder. Malî güce göre vergilendirme, verginin, yükümlülerin ekonomik ve kişisel durumlarına göre alınmasıdır.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Bu ilke, aynı zamanda vergide eşitlik sağlanmasının uygulama aracı olup, malî gücü fazla olanın malî gücü az olana göre daha fazla vergi ödemesini gerektirir. Vergide eşitlik ilkesi ise malî gücü aynı olanlardan aynı, farklı olanlardan ise farklı oranda vergi alınması esasına dayanır.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Anayasa Mahkemesinin 20.03.2008 tarih ve E.2004/94, K.2008/83 sayılı kararında (R.G.T. 01.07.2008, Sa.26923),</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1" w:name="940836"/>
      <w:r w:rsidRPr="00026B6F">
        <w:rPr>
          <w:rFonts w:ascii="Times New Roman" w:eastAsia="Times New Roman" w:hAnsi="Times New Roman" w:cs="Times New Roman"/>
          <w:i/>
          <w:iCs/>
          <w:color w:val="000000"/>
          <w:sz w:val="24"/>
          <w:szCs w:val="26"/>
          <w:lang w:eastAsia="tr-TR"/>
        </w:rPr>
        <w:t>'Verginin mali güce göre alınması ve genelliği ilkeleriyle vergilendirmede eşitlik ve adaletin gerçekleştirilmesi amaçlanmıştır. Ekonomi ve vergi hukuku alanında mali güce ilişkin göstergelerin gelir, sermaye ve harcamalar olduğu kabul edilmektedir. </w:t>
      </w:r>
      <w:bookmarkStart w:id="2" w:name="P1"/>
      <w:bookmarkEnd w:id="1"/>
      <w:bookmarkEnd w:id="2"/>
      <w:r w:rsidRPr="00026B6F">
        <w:rPr>
          <w:rFonts w:ascii="Times New Roman" w:eastAsia="Times New Roman" w:hAnsi="Times New Roman" w:cs="Times New Roman"/>
          <w:i/>
          <w:iCs/>
          <w:color w:val="000000"/>
          <w:sz w:val="24"/>
          <w:szCs w:val="26"/>
          <w:lang w:eastAsia="tr-TR"/>
        </w:rPr>
        <w:t>Mali güç, ödeme gücünün kaynağı, dayanağı, nedeni ve varlık koşuludur. Yasakoyucunun vergilendirmede, kişilerin sahip olduğu ekonomik değer ile </w:t>
      </w:r>
      <w:bookmarkStart w:id="3" w:name="P2"/>
      <w:r w:rsidRPr="00026B6F">
        <w:rPr>
          <w:rFonts w:ascii="Times New Roman" w:eastAsia="Times New Roman" w:hAnsi="Times New Roman" w:cs="Times New Roman"/>
          <w:i/>
          <w:iCs/>
          <w:color w:val="000000"/>
          <w:sz w:val="24"/>
          <w:szCs w:val="26"/>
          <w:lang w:eastAsia="tr-TR"/>
        </w:rPr>
        <w:t>mali güç</w:t>
      </w:r>
      <w:bookmarkEnd w:id="3"/>
      <w:r w:rsidRPr="00026B6F">
        <w:rPr>
          <w:rFonts w:ascii="Times New Roman" w:eastAsia="Times New Roman" w:hAnsi="Times New Roman" w:cs="Times New Roman"/>
          <w:i/>
          <w:iCs/>
          <w:color w:val="000000"/>
          <w:sz w:val="24"/>
          <w:szCs w:val="26"/>
          <w:lang w:eastAsia="tr-TR"/>
        </w:rPr>
        <w:t>lerini göz önünde bulundurması gerekir.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i/>
          <w:iCs/>
          <w:color w:val="000000"/>
          <w:sz w:val="24"/>
          <w:szCs w:val="26"/>
          <w:lang w:eastAsia="tr-TR"/>
        </w:rPr>
        <w:t xml:space="preserve">Vergide genellik ilkesi, herhangi bir ayırım yapılmaksızın mali gücü olan herkesin vergi yüküne katılmasını ve vergi ödemesini ifade eder. Mali güce göre vergilendirme, verginin, </w:t>
      </w:r>
      <w:r w:rsidRPr="00026B6F">
        <w:rPr>
          <w:rFonts w:ascii="Times New Roman" w:eastAsia="Times New Roman" w:hAnsi="Times New Roman" w:cs="Times New Roman"/>
          <w:i/>
          <w:iCs/>
          <w:color w:val="000000"/>
          <w:sz w:val="24"/>
          <w:szCs w:val="26"/>
          <w:lang w:eastAsia="tr-TR"/>
        </w:rPr>
        <w:lastRenderedPageBreak/>
        <w:t>yükümlülerin ekonomik ve kişisel durumlarına göre alınmasıdır. Bu ilke, aynı zamanda vergide eşitlik ilkesinin uygulama aracı olup, mali gücü fazla olanın mali gücü az olana göre daha fazla vergi ödemesini gerektirir. Vergide eşitlik ilkesi ise mali gücü aynı olanlardan aynı, farklı olanlardan ise farklı oranda vergi alınması esasına dayanır. Diğer bir anlatımla, yükümlülerin genel vergi yüküne kendi ödeme güçlerine göre katılmalarını ifade eder.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i/>
          <w:iCs/>
          <w:color w:val="000000"/>
          <w:sz w:val="24"/>
          <w:szCs w:val="26"/>
          <w:lang w:eastAsia="tr-TR"/>
        </w:rPr>
        <w:t>Herkes tarafından yerine getirilmesi gereken bir yükümlülük olarak kabul edilen ve Devletin kamusal gereksinimlerini karşılaması için egemenlik gücüne dayanarak tek taraflı iradesiyle kişilere yüklediği bir kamu alacağı şeklinde tanımlanan verginin, anayasal sınırlar içinde salınıp toplanması zorunluluğu açıktır. Vergi hukukunda, vergi olgusunun niteliklerini oluşturan yasal düzenlemelerde Anayasanın bu konudaki ilkelerinin özenle göz önünde tutulması gerekir. Bu anlamda, Devletin vergilendirme yetkisi vergide yasallık, </w:t>
      </w:r>
      <w:bookmarkStart w:id="4" w:name="P3"/>
      <w:r w:rsidRPr="00026B6F">
        <w:rPr>
          <w:rFonts w:ascii="Times New Roman" w:eastAsia="Times New Roman" w:hAnsi="Times New Roman" w:cs="Times New Roman"/>
          <w:i/>
          <w:iCs/>
          <w:color w:val="000000"/>
          <w:sz w:val="24"/>
          <w:szCs w:val="26"/>
          <w:lang w:eastAsia="tr-TR"/>
        </w:rPr>
        <w:t>mali güç</w:t>
      </w:r>
      <w:bookmarkEnd w:id="4"/>
      <w:r w:rsidRPr="00026B6F">
        <w:rPr>
          <w:rFonts w:ascii="Times New Roman" w:eastAsia="Times New Roman" w:hAnsi="Times New Roman" w:cs="Times New Roman"/>
          <w:i/>
          <w:iCs/>
          <w:color w:val="000000"/>
          <w:sz w:val="24"/>
          <w:szCs w:val="26"/>
          <w:lang w:eastAsia="tr-TR"/>
        </w:rPr>
        <w:t> ve genellik gibi kimi anayasal ilkelerle sınırlandırılmıştır. Buna göre vergi, Anayasanın öngördüğü ilkeleri gözetecek şekilde kanunla düzenlenmeli ve doğal olarak vergide eşitlik ilkesinin uygulama aracı olan mali gücü de yansıtmalıdır.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denilmiştir.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Dava konusu düzenleme ile malî güç nazara alınmaksızın beyan edilen varlıkların yurtdışında ya da yurtiçinde bulunmalarına göre farklı oranda vergilendirilmeleri öngörülerek mükellefler arasında vergi yükünün dağılımında adalet ve denge bozulmuş ve Anayasanın 73 üncü maddesinde yer alan 'herkesin mali gücüne göre vergi ödemesi' ile 'vergi yükünün adaletli ve dengeli dağılımı' ilkelerine aykırılık oluştuğu gibi, yükümlülerin vergi ödeme güçleri dikkate alınmak suretiyle vergilendirmenin yapılmasını öngören vergide eşitlik ilkesinin uygulama aracı olan mali gücü de yansıtmadığından 'vergide eşitlik ilkesi' de zedelenmiştir.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Diğer taraftan bir hukuk devletinde, vergilendirmenin temel ilkelerinin gözetilmesi gerektiğinden hukuk devleti ilkesi de ihlal edilmiştir.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Açıklanan nedenlerle, 13.11.2008 tarihli ve 5811 sayılı Bazı Varlıkların Ekonomiye Kazandırılması Hakkında Kanunun 3 üncü maddesinin (3) numaralı fıkrasının ilk tümcesi Anayasanın 2 nci ve 73 üncü maddelerine aykırı olup, iptali gerekmektedir.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IV. YÜRÜRLÜĞÜ DURDURMA İSTEMİNİN GEREKÇESİ</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Vergi sisteminin, ilkeleri, kuralları ve unsurlarıyla istikrarlı ve düzenli olması ve bu düzenin korunması asıl olup, bu düzenin zedelenmesi halinde, sonradan giderilmesi olanaksız durum ve zararların doğabileceği açıktır.</w:t>
      </w:r>
    </w:p>
    <w:p w:rsid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Öte yandan, anayasal düzenin en kısa sürede hukuka aykırı kurallardan arındırılması, hukuk devleti sayılmanın da gereğidir. Anayasaya aykırılığın sürdürülmesinin, bir hukuk devletinde subjektif yararların üstünde, özenle korunması gereken hukukun üstünlüğü ilkesini de zedeleyeceği kuşkusuzdur. Hukukun üstünlüğü ilkesinin sağlanamadığı bir düzende, kişi hak ve özgürlükleri güvence altında sayılamayacağından, bu ilkenin zedelenmesinin hukuk devleti yönünden giderilmesi olanaksız durum ve zararlara yol açacağında duraksama bulunmamaktadır.</w:t>
      </w:r>
    </w:p>
    <w:p w:rsidR="00026B6F" w:rsidRPr="00026B6F" w:rsidRDefault="00026B6F" w:rsidP="00026B6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026B6F">
        <w:rPr>
          <w:rFonts w:ascii="Times New Roman" w:eastAsia="Times New Roman" w:hAnsi="Times New Roman" w:cs="Times New Roman"/>
          <w:color w:val="000000"/>
          <w:sz w:val="24"/>
          <w:szCs w:val="26"/>
          <w:lang w:eastAsia="tr-TR"/>
        </w:rPr>
        <w:t>Bu zarar ve durumların doğmasını önlemek amacıyla, Anayasaya açıkça aykırı olan iptali istenen hükümlerin iptal davası sonuçlanıncaya kadar yürürlüklerinin de durdurulması istenerek Anayasa Mahkemesine dava açılmıştır.'"</w:t>
      </w:r>
    </w:p>
    <w:p w:rsidR="00CE1FB9" w:rsidRPr="00026B6F" w:rsidRDefault="00CE1FB9" w:rsidP="00026B6F">
      <w:pPr>
        <w:spacing w:before="100" w:beforeAutospacing="1" w:after="100" w:afterAutospacing="1" w:line="240" w:lineRule="auto"/>
        <w:ind w:firstLine="709"/>
        <w:jc w:val="both"/>
        <w:rPr>
          <w:rFonts w:ascii="Times New Roman" w:hAnsi="Times New Roman" w:cs="Times New Roman"/>
          <w:sz w:val="24"/>
        </w:rPr>
      </w:pPr>
    </w:p>
    <w:sectPr w:rsidR="00CE1FB9" w:rsidRPr="00026B6F">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31B3" w:rsidRDefault="004831B3" w:rsidP="00026B6F">
      <w:pPr>
        <w:spacing w:after="0" w:line="240" w:lineRule="auto"/>
      </w:pPr>
      <w:r>
        <w:separator/>
      </w:r>
    </w:p>
  </w:endnote>
  <w:endnote w:type="continuationSeparator" w:id="0">
    <w:p w:rsidR="004831B3" w:rsidRDefault="004831B3" w:rsidP="00026B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6B6F" w:rsidRDefault="00026B6F" w:rsidP="00AE661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26B6F" w:rsidRDefault="00026B6F" w:rsidP="00026B6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6B6F" w:rsidRPr="00026B6F" w:rsidRDefault="00026B6F" w:rsidP="00AE6613">
    <w:pPr>
      <w:pStyle w:val="Altbilgi"/>
      <w:framePr w:wrap="around" w:vAnchor="text" w:hAnchor="margin" w:xAlign="right" w:y="1"/>
      <w:rPr>
        <w:rStyle w:val="SayfaNumaras"/>
        <w:rFonts w:ascii="Times New Roman" w:hAnsi="Times New Roman" w:cs="Times New Roman"/>
      </w:rPr>
    </w:pPr>
    <w:r w:rsidRPr="00026B6F">
      <w:rPr>
        <w:rStyle w:val="SayfaNumaras"/>
        <w:rFonts w:ascii="Times New Roman" w:hAnsi="Times New Roman" w:cs="Times New Roman"/>
      </w:rPr>
      <w:fldChar w:fldCharType="begin"/>
    </w:r>
    <w:r w:rsidRPr="00026B6F">
      <w:rPr>
        <w:rStyle w:val="SayfaNumaras"/>
        <w:rFonts w:ascii="Times New Roman" w:hAnsi="Times New Roman" w:cs="Times New Roman"/>
      </w:rPr>
      <w:instrText xml:space="preserve">PAGE  </w:instrText>
    </w:r>
    <w:r w:rsidRPr="00026B6F">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026B6F">
      <w:rPr>
        <w:rStyle w:val="SayfaNumaras"/>
        <w:rFonts w:ascii="Times New Roman" w:hAnsi="Times New Roman" w:cs="Times New Roman"/>
      </w:rPr>
      <w:fldChar w:fldCharType="end"/>
    </w:r>
  </w:p>
  <w:p w:rsidR="00026B6F" w:rsidRPr="00026B6F" w:rsidRDefault="00026B6F" w:rsidP="00026B6F">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31B3" w:rsidRDefault="004831B3" w:rsidP="00026B6F">
      <w:pPr>
        <w:spacing w:after="0" w:line="240" w:lineRule="auto"/>
      </w:pPr>
      <w:r>
        <w:separator/>
      </w:r>
    </w:p>
  </w:footnote>
  <w:footnote w:type="continuationSeparator" w:id="0">
    <w:p w:rsidR="004831B3" w:rsidRDefault="004831B3" w:rsidP="00026B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6B6F" w:rsidRPr="00AA5152" w:rsidRDefault="00026B6F" w:rsidP="00026B6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A5152">
      <w:rPr>
        <w:rFonts w:ascii="Times New Roman" w:eastAsia="Times New Roman" w:hAnsi="Times New Roman" w:cs="Times New Roman"/>
        <w:b/>
        <w:color w:val="000000"/>
        <w:sz w:val="24"/>
        <w:szCs w:val="26"/>
        <w:lang w:eastAsia="tr-TR"/>
      </w:rPr>
      <w:t>Esas Sayısı : 2008/116</w:t>
    </w:r>
  </w:p>
  <w:p w:rsidR="00026B6F" w:rsidRPr="00AA5152" w:rsidRDefault="00026B6F" w:rsidP="00026B6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A5152">
      <w:rPr>
        <w:rFonts w:ascii="Times New Roman" w:eastAsia="Times New Roman" w:hAnsi="Times New Roman" w:cs="Times New Roman"/>
        <w:b/>
        <w:color w:val="000000"/>
        <w:sz w:val="24"/>
        <w:szCs w:val="26"/>
        <w:lang w:eastAsia="tr-TR"/>
      </w:rPr>
      <w:t>Karar Sayısı : 2010/85</w:t>
    </w:r>
  </w:p>
  <w:p w:rsidR="00026B6F" w:rsidRPr="00026B6F" w:rsidRDefault="00026B6F" w:rsidP="00026B6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B6F"/>
    <w:rsid w:val="00026B6F"/>
    <w:rsid w:val="004831B3"/>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CD0811-B99C-47E8-B5EE-359BAEDC5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timesnewroman">
    <w:name w:val="timesnewroman"/>
    <w:basedOn w:val="Normal"/>
    <w:rsid w:val="00026B6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sobodytextindent">
    <w:name w:val="msobodytextindent"/>
    <w:basedOn w:val="Normal"/>
    <w:rsid w:val="00026B6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26B6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26B6F"/>
  </w:style>
  <w:style w:type="paragraph" w:styleId="Altbilgi">
    <w:name w:val="footer"/>
    <w:basedOn w:val="Normal"/>
    <w:link w:val="AltbilgiChar"/>
    <w:uiPriority w:val="99"/>
    <w:unhideWhenUsed/>
    <w:rsid w:val="00026B6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26B6F"/>
  </w:style>
  <w:style w:type="character" w:styleId="SayfaNumaras">
    <w:name w:val="page number"/>
    <w:basedOn w:val="VarsaylanParagrafYazTipi"/>
    <w:uiPriority w:val="99"/>
    <w:semiHidden/>
    <w:unhideWhenUsed/>
    <w:rsid w:val="00026B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798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944</Words>
  <Characters>5387</Characters>
  <Application>Microsoft Office Word</Application>
  <DocSecurity>0</DocSecurity>
  <Lines>44</Lines>
  <Paragraphs>12</Paragraphs>
  <ScaleCrop>false</ScaleCrop>
  <Company/>
  <LinksUpToDate>false</LinksUpToDate>
  <CharactersWithSpaces>6319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2019-02-01T12:31:00Z</dcterms:created>
  <dcterms:modified xsi:type="dcterms:W3CDTF">2019-02-01T12:31:00Z</dcterms:modified>
</cp:coreProperties>
</file>