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2B" w:rsidRPr="00F3792B" w:rsidRDefault="00F3792B" w:rsidP="00F3792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3792B">
        <w:rPr>
          <w:rFonts w:ascii="Times New Roman" w:eastAsia="Times New Roman" w:hAnsi="Times New Roman" w:cs="Times New Roman"/>
          <w:b/>
          <w:bCs/>
          <w:color w:val="000000"/>
          <w:sz w:val="24"/>
          <w:szCs w:val="26"/>
          <w:lang w:eastAsia="tr-TR"/>
        </w:rPr>
        <w:t>"...</w:t>
      </w:r>
    </w:p>
    <w:p w:rsidR="00F3792B" w:rsidRPr="00F3792B" w:rsidRDefault="00F3792B" w:rsidP="00F379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3792B">
        <w:rPr>
          <w:rFonts w:ascii="Times New Roman" w:eastAsia="Times New Roman" w:hAnsi="Times New Roman" w:cs="Times New Roman"/>
          <w:b/>
          <w:bCs/>
          <w:color w:val="000000"/>
          <w:sz w:val="24"/>
          <w:szCs w:val="26"/>
          <w:lang w:eastAsia="tr-TR"/>
        </w:rPr>
        <w:t>II- İTİRAZIN GEREKÇESİ</w:t>
      </w:r>
      <w:r w:rsidRPr="00F3792B">
        <w:rPr>
          <w:rFonts w:ascii="Times New Roman" w:eastAsia="Times New Roman" w:hAnsi="Times New Roman" w:cs="Times New Roman"/>
          <w:color w:val="000000"/>
          <w:sz w:val="24"/>
          <w:szCs w:val="24"/>
          <w:lang w:eastAsia="tr-TR"/>
        </w:rPr>
        <w:t> </w:t>
      </w:r>
    </w:p>
    <w:p w:rsidR="00F3792B" w:rsidRPr="00F3792B" w:rsidRDefault="00F3792B" w:rsidP="00F379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3792B">
        <w:rPr>
          <w:rFonts w:ascii="Times New Roman" w:eastAsia="Times New Roman" w:hAnsi="Times New Roman" w:cs="Times New Roman"/>
          <w:color w:val="000000"/>
          <w:sz w:val="24"/>
          <w:szCs w:val="26"/>
          <w:lang w:eastAsia="tr-TR"/>
        </w:rPr>
        <w:t>İtirazın gerekçe bölümü şöyledir:</w:t>
      </w:r>
      <w:bookmarkStart w:id="0" w:name="_GoBack"/>
      <w:bookmarkEnd w:id="0"/>
    </w:p>
    <w:p w:rsidR="00F3792B" w:rsidRPr="00F3792B" w:rsidRDefault="00F3792B" w:rsidP="00F379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3792B">
        <w:rPr>
          <w:rFonts w:ascii="Times New Roman" w:eastAsia="Times New Roman" w:hAnsi="Times New Roman" w:cs="Times New Roman"/>
          <w:color w:val="000000"/>
          <w:sz w:val="24"/>
          <w:szCs w:val="26"/>
          <w:lang w:eastAsia="tr-TR"/>
        </w:rPr>
        <w:t>''</w:t>
      </w:r>
    </w:p>
    <w:p w:rsidR="00F3792B" w:rsidRPr="00F3792B" w:rsidRDefault="00F3792B" w:rsidP="00F379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3792B">
        <w:rPr>
          <w:rFonts w:ascii="Times New Roman" w:eastAsia="Times New Roman" w:hAnsi="Times New Roman" w:cs="Times New Roman"/>
          <w:color w:val="000000"/>
          <w:sz w:val="24"/>
          <w:szCs w:val="26"/>
          <w:lang w:eastAsia="tr-TR"/>
        </w:rPr>
        <w:t xml:space="preserve">Anayasa'nın 36. maddesinde düzenlenen adil yargılanma hakkı (sanık ve müşteki yönünden) yargılanmanın makul sürede bitirilmesini de kapsar. Davaya konu olan olayımızda Yüksek Sağlık Şurası'nın görüşünün alınması zorunludur. Bu nedenle yargılama sırasında dosya Yüksek Sağlık Şurası'na gönderilerek rapor düzenlenmesi istenilmiş ancak 19.10.2005 tarihinde gönderilen dosya 08.06.2009 tarihinde mahkememize ulaşmış olup bu süreç yaklaşık olarak 3 yıl 7 ay 23 güne tekabül etmektedir. Yüksek Sağlık Şurası'nın mevzuatı gereğince yılda bir defa toplanması, ülkemizin bütün mahkemelerinden gönderilen dosyaların sadece bu kurumca değerlendirmesi nedeni ile dosyaların birikmesine neden olmaktadır. Bunun sonucunda da raporlar geç düzenlenerek yargılama süreci uzamakta olup dava zamanaşımı dolmaktadır. Mahkememizde bu nitelikteki diğer dosyaların da aynı şekilde Yüksek Sağlık Şurası'ndan 3, 4 hatta 5 yıl içerisinde geldiği görülmektedir. Oysa Ceza Muhakemesi Kanunu'na göre bilirkişilik kurumu olarak Adli Tıp Kurumu ve mahkemenin doğrudan atadığı kişilerden de bilirkişi raporu alınması </w:t>
      </w:r>
      <w:proofErr w:type="gramStart"/>
      <w:r w:rsidRPr="00F3792B">
        <w:rPr>
          <w:rFonts w:ascii="Times New Roman" w:eastAsia="Times New Roman" w:hAnsi="Times New Roman" w:cs="Times New Roman"/>
          <w:color w:val="000000"/>
          <w:sz w:val="24"/>
          <w:szCs w:val="26"/>
          <w:lang w:eastAsia="tr-TR"/>
        </w:rPr>
        <w:t>imkanı</w:t>
      </w:r>
      <w:proofErr w:type="gramEnd"/>
      <w:r w:rsidRPr="00F3792B">
        <w:rPr>
          <w:rFonts w:ascii="Times New Roman" w:eastAsia="Times New Roman" w:hAnsi="Times New Roman" w:cs="Times New Roman"/>
          <w:color w:val="000000"/>
          <w:sz w:val="24"/>
          <w:szCs w:val="26"/>
          <w:lang w:eastAsia="tr-TR"/>
        </w:rPr>
        <w:t xml:space="preserve"> vardır. Bu bilirkişilerden ve kurumlardan alınan raporlar daha az sürede verilmekte ve yargılamanın uzun sürmesine neden olmamaktadır. Yüksek Sağlık Şurası'nın görüşünün alınması kanun gereğince zorunlu olmasına karşın görüşü mahkemeyi bağlamamaktadır. Bu nedenle uygulamada genelde Yüksek Sağlık Şurası'nın raporundan sonra Adli Tıp Kurumu'ndan da rapor alınmaktadır. Bu sonuca göre Yüksek Sağlık </w:t>
      </w:r>
      <w:proofErr w:type="spellStart"/>
      <w:r w:rsidRPr="00F3792B">
        <w:rPr>
          <w:rFonts w:ascii="Times New Roman" w:eastAsia="Times New Roman" w:hAnsi="Times New Roman" w:cs="Times New Roman"/>
          <w:color w:val="000000"/>
          <w:sz w:val="24"/>
          <w:szCs w:val="26"/>
          <w:lang w:eastAsia="tr-TR"/>
        </w:rPr>
        <w:t>Şurası'nm</w:t>
      </w:r>
      <w:proofErr w:type="spellEnd"/>
      <w:r w:rsidRPr="00F3792B">
        <w:rPr>
          <w:rFonts w:ascii="Times New Roman" w:eastAsia="Times New Roman" w:hAnsi="Times New Roman" w:cs="Times New Roman"/>
          <w:color w:val="000000"/>
          <w:sz w:val="24"/>
          <w:szCs w:val="26"/>
          <w:lang w:eastAsia="tr-TR"/>
        </w:rPr>
        <w:t xml:space="preserve"> raporunun alınması yargılama sürecini uzatmakta ve dava zamanaşımı süresinin dolması nedeni ile sanık ve müştekinin makul sürede adil yargılanma hakkını engellemektedir. Doktorların yapmış oldukları görevleri nedeni ile adli soruşturmalarda 1219 sayılı Tababet Ve </w:t>
      </w:r>
      <w:proofErr w:type="spellStart"/>
      <w:r w:rsidRPr="00F3792B">
        <w:rPr>
          <w:rFonts w:ascii="Times New Roman" w:eastAsia="Times New Roman" w:hAnsi="Times New Roman" w:cs="Times New Roman"/>
          <w:color w:val="000000"/>
          <w:sz w:val="24"/>
          <w:szCs w:val="26"/>
          <w:lang w:eastAsia="tr-TR"/>
        </w:rPr>
        <w:t>Şuabatı</w:t>
      </w:r>
      <w:proofErr w:type="spellEnd"/>
      <w:r w:rsidRPr="00F3792B">
        <w:rPr>
          <w:rFonts w:ascii="Times New Roman" w:eastAsia="Times New Roman" w:hAnsi="Times New Roman" w:cs="Times New Roman"/>
          <w:color w:val="000000"/>
          <w:sz w:val="24"/>
          <w:szCs w:val="26"/>
          <w:lang w:eastAsia="tr-TR"/>
        </w:rPr>
        <w:t xml:space="preserve"> Sanatlarının Tarzı İcrasına Dair Kanun'un 75. maddesi gereğince Yüksek Sağlık Şurası'ndan rapor alınmasının zorunlu olması Anayasa'nın 36. maddesinde düzenlenen adil yargılanma hakkına aykırı olduğu görüşü ile iptali gerekmektedir.'</w:t>
      </w:r>
      <w:r w:rsidRPr="00F3792B">
        <w:rPr>
          <w:rFonts w:ascii="Times New Roman" w:eastAsia="Times New Roman" w:hAnsi="Times New Roman" w:cs="Times New Roman"/>
          <w:color w:val="000000"/>
          <w:sz w:val="24"/>
          <w:szCs w:val="24"/>
          <w:lang w:eastAsia="tr-TR"/>
        </w:rPr>
        <w:t> "</w:t>
      </w:r>
    </w:p>
    <w:p w:rsidR="00CE1FB9" w:rsidRPr="00F3792B" w:rsidRDefault="00CE1FB9" w:rsidP="00F3792B">
      <w:pPr>
        <w:spacing w:before="100" w:beforeAutospacing="1" w:after="100" w:afterAutospacing="1" w:line="240" w:lineRule="auto"/>
        <w:ind w:firstLine="709"/>
        <w:jc w:val="both"/>
        <w:rPr>
          <w:rFonts w:ascii="Times New Roman" w:hAnsi="Times New Roman" w:cs="Times New Roman"/>
          <w:sz w:val="24"/>
        </w:rPr>
      </w:pPr>
    </w:p>
    <w:sectPr w:rsidR="00CE1FB9" w:rsidRPr="00F3792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34" w:rsidRDefault="00924A34" w:rsidP="00F3792B">
      <w:pPr>
        <w:spacing w:after="0" w:line="240" w:lineRule="auto"/>
      </w:pPr>
      <w:r>
        <w:separator/>
      </w:r>
    </w:p>
  </w:endnote>
  <w:endnote w:type="continuationSeparator" w:id="0">
    <w:p w:rsidR="00924A34" w:rsidRDefault="00924A34" w:rsidP="00F3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B" w:rsidRDefault="00F3792B" w:rsidP="00A46A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792B" w:rsidRDefault="00F3792B" w:rsidP="00F379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B" w:rsidRPr="00F3792B" w:rsidRDefault="00F3792B" w:rsidP="00A46A9A">
    <w:pPr>
      <w:pStyle w:val="Altbilgi"/>
      <w:framePr w:wrap="around" w:vAnchor="text" w:hAnchor="margin" w:xAlign="right" w:y="1"/>
      <w:rPr>
        <w:rStyle w:val="SayfaNumaras"/>
        <w:rFonts w:ascii="Times New Roman" w:hAnsi="Times New Roman" w:cs="Times New Roman"/>
      </w:rPr>
    </w:pPr>
    <w:r w:rsidRPr="00F3792B">
      <w:rPr>
        <w:rStyle w:val="SayfaNumaras"/>
        <w:rFonts w:ascii="Times New Roman" w:hAnsi="Times New Roman" w:cs="Times New Roman"/>
      </w:rPr>
      <w:fldChar w:fldCharType="begin"/>
    </w:r>
    <w:r w:rsidRPr="00F3792B">
      <w:rPr>
        <w:rStyle w:val="SayfaNumaras"/>
        <w:rFonts w:ascii="Times New Roman" w:hAnsi="Times New Roman" w:cs="Times New Roman"/>
      </w:rPr>
      <w:instrText xml:space="preserve">PAGE  </w:instrText>
    </w:r>
    <w:r w:rsidRPr="00F3792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3792B">
      <w:rPr>
        <w:rStyle w:val="SayfaNumaras"/>
        <w:rFonts w:ascii="Times New Roman" w:hAnsi="Times New Roman" w:cs="Times New Roman"/>
      </w:rPr>
      <w:fldChar w:fldCharType="end"/>
    </w:r>
  </w:p>
  <w:p w:rsidR="00F3792B" w:rsidRPr="00F3792B" w:rsidRDefault="00F3792B" w:rsidP="00F379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34" w:rsidRDefault="00924A34" w:rsidP="00F3792B">
      <w:pPr>
        <w:spacing w:after="0" w:line="240" w:lineRule="auto"/>
      </w:pPr>
      <w:r>
        <w:separator/>
      </w:r>
    </w:p>
  </w:footnote>
  <w:footnote w:type="continuationSeparator" w:id="0">
    <w:p w:rsidR="00924A34" w:rsidRDefault="00924A34" w:rsidP="00F37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2B" w:rsidRPr="0096376A" w:rsidRDefault="00F3792B" w:rsidP="00F379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376A">
      <w:rPr>
        <w:rFonts w:ascii="Times New Roman" w:eastAsia="Times New Roman" w:hAnsi="Times New Roman" w:cs="Times New Roman"/>
        <w:b/>
        <w:color w:val="000000"/>
        <w:sz w:val="24"/>
        <w:szCs w:val="24"/>
        <w:lang w:eastAsia="tr-TR"/>
      </w:rPr>
      <w:t xml:space="preserve">Esas </w:t>
    </w:r>
    <w:proofErr w:type="gramStart"/>
    <w:r w:rsidRPr="0096376A">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96376A">
      <w:rPr>
        <w:rFonts w:ascii="Times New Roman" w:eastAsia="Times New Roman" w:hAnsi="Times New Roman" w:cs="Times New Roman"/>
        <w:b/>
        <w:color w:val="000000"/>
        <w:sz w:val="24"/>
        <w:szCs w:val="24"/>
        <w:lang w:eastAsia="tr-TR"/>
      </w:rPr>
      <w:t>: 2009</w:t>
    </w:r>
    <w:proofErr w:type="gramEnd"/>
    <w:r w:rsidRPr="0096376A">
      <w:rPr>
        <w:rFonts w:ascii="Times New Roman" w:eastAsia="Times New Roman" w:hAnsi="Times New Roman" w:cs="Times New Roman"/>
        <w:b/>
        <w:color w:val="000000"/>
        <w:sz w:val="24"/>
        <w:szCs w:val="24"/>
        <w:lang w:eastAsia="tr-TR"/>
      </w:rPr>
      <w:t>/69</w:t>
    </w:r>
  </w:p>
  <w:p w:rsidR="00F3792B" w:rsidRPr="0096376A" w:rsidRDefault="00F3792B" w:rsidP="00F379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376A">
      <w:rPr>
        <w:rFonts w:ascii="Times New Roman" w:eastAsia="Times New Roman" w:hAnsi="Times New Roman" w:cs="Times New Roman"/>
        <w:b/>
        <w:color w:val="000000"/>
        <w:sz w:val="24"/>
        <w:szCs w:val="24"/>
        <w:lang w:eastAsia="tr-TR"/>
      </w:rPr>
      <w:t xml:space="preserve">Karar </w:t>
    </w:r>
    <w:proofErr w:type="gramStart"/>
    <w:r w:rsidRPr="0096376A">
      <w:rPr>
        <w:rFonts w:ascii="Times New Roman" w:eastAsia="Times New Roman" w:hAnsi="Times New Roman" w:cs="Times New Roman"/>
        <w:b/>
        <w:color w:val="000000"/>
        <w:sz w:val="24"/>
        <w:szCs w:val="24"/>
        <w:lang w:eastAsia="tr-TR"/>
      </w:rPr>
      <w:t>Sayısı : 2010</w:t>
    </w:r>
    <w:proofErr w:type="gramEnd"/>
    <w:r w:rsidRPr="0096376A">
      <w:rPr>
        <w:rFonts w:ascii="Times New Roman" w:eastAsia="Times New Roman" w:hAnsi="Times New Roman" w:cs="Times New Roman"/>
        <w:b/>
        <w:color w:val="000000"/>
        <w:sz w:val="24"/>
        <w:szCs w:val="24"/>
        <w:lang w:eastAsia="tr-TR"/>
      </w:rPr>
      <w:t>/79</w:t>
    </w:r>
  </w:p>
  <w:p w:rsidR="00F3792B" w:rsidRPr="00F3792B" w:rsidRDefault="00F3792B" w:rsidP="00F379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2B"/>
    <w:rsid w:val="00924A34"/>
    <w:rsid w:val="00CE1FB9"/>
    <w:rsid w:val="00F37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51906-2A75-4040-A537-4584EA89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9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92B"/>
  </w:style>
  <w:style w:type="paragraph" w:styleId="Altbilgi">
    <w:name w:val="footer"/>
    <w:basedOn w:val="Normal"/>
    <w:link w:val="AltbilgiChar"/>
    <w:uiPriority w:val="99"/>
    <w:unhideWhenUsed/>
    <w:rsid w:val="00F379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92B"/>
  </w:style>
  <w:style w:type="character" w:styleId="SayfaNumaras">
    <w:name w:val="page number"/>
    <w:basedOn w:val="VarsaylanParagrafYazTipi"/>
    <w:uiPriority w:val="99"/>
    <w:semiHidden/>
    <w:unhideWhenUsed/>
    <w:rsid w:val="00F3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2019-02-01T11:30:00Z</dcterms:created>
  <dcterms:modified xsi:type="dcterms:W3CDTF">2019-02-01T11:31:00Z</dcterms:modified>
</cp:coreProperties>
</file>