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67" w:rsidRP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B0867">
        <w:rPr>
          <w:rFonts w:ascii="Times New Roman" w:eastAsia="Times New Roman" w:hAnsi="Times New Roman" w:cs="Times New Roman"/>
          <w:b/>
          <w:bCs/>
          <w:color w:val="000000"/>
          <w:sz w:val="24"/>
          <w:szCs w:val="26"/>
          <w:lang w:eastAsia="tr-TR"/>
        </w:rPr>
        <w:t>"...</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b/>
          <w:bCs/>
          <w:color w:val="000000"/>
          <w:sz w:val="24"/>
          <w:szCs w:val="26"/>
          <w:lang w:eastAsia="tr-TR"/>
        </w:rPr>
        <w:t>II- İTİRAZIN GEREKÇESİ</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'6136 Sayılı Ateşli Silahlar ve Bıçaklar ile Diğer Aletler Hakkında</w:t>
      </w:r>
      <w:r w:rsidRPr="00AB0867">
        <w:rPr>
          <w:rFonts w:ascii="Times New Roman" w:eastAsia="Times New Roman" w:hAnsi="Times New Roman" w:cs="Times New Roman"/>
          <w:color w:val="000000"/>
          <w:sz w:val="24"/>
          <w:szCs w:val="26"/>
          <w:lang w:eastAsia="tr-TR"/>
        </w:rPr>
        <w:br/>
        <w:t>Kanunun 13. maddesinde; 'Bu Kanun hükümlerine aykırı olarak ateşli silahlarla bunlara ait mermileri satın alan veya taşıyanlar veya bulunduranlar hakkında bir yıldan üç yıla kadar hapis ve otuz günden yüz güne kadar adlî para cezasına hükmolunur.</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Ateşli silahın, bu Kanunun 12 nci maddesinin dördüncü fıkrasında sayılanlardan</w:t>
      </w:r>
      <w:r w:rsidRPr="00AB0867">
        <w:rPr>
          <w:rFonts w:ascii="Times New Roman" w:eastAsia="Times New Roman" w:hAnsi="Times New Roman" w:cs="Times New Roman"/>
          <w:color w:val="000000"/>
          <w:sz w:val="24"/>
          <w:szCs w:val="26"/>
          <w:lang w:eastAsia="tr-TR"/>
        </w:rPr>
        <w:br/>
        <w:t>olması ya da silâh veya mermilerin sayı veya nitelik bakımından vahim olması halinde beş yıldan sekiz yıla kadar hapis ve beş yüz günden beş bin güne kadar adlî para cezasına hükmolunur.</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Bu Kanunun 12 nci maddesinin dördüncü fıkrasında sayılanlar dışındaki ateşli silahın bir adet olması ve mutat sayıdaki mermilerinin ev veya işyerinde bulundurulması halinde verilecek ceza bir yıldan iki yıla kadar hapis ve yirmi beş günden yüz güne kadar adlî para cezasıdır.</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Ateşli silahlara ait mermilerin pek az sayıda bulundurulmasının veya taşınmasının mahkemece vahim olarak takdir edilmemesi durumunda hükmolunacak ceza altı aya kadar hapis ve yüz güne kadar adlî para cezasıdır.</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Kuru sıkı tabir edilen ses veya gaz fişeği ya da benzerlerini atabilen tabancayı, teknik özelliklerinde değişiklik yaparak öldürmeye elverişli silah haline dönüştüren kişi, bu maddenin birinci fıkrası hükümlerine göre cezalandırılır.' şeklinde belirtilmiştir. Söz konusu metnin Anayasaya aykırı olduğu düşünülmüştür. Şöyle ki;</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6136 sayılı Kanunun 13. maddesinin birinci fıkrasında, ateşli silahın taşınması</w:t>
      </w:r>
      <w:r w:rsidRPr="00AB0867">
        <w:rPr>
          <w:rFonts w:ascii="Times New Roman" w:eastAsia="Times New Roman" w:hAnsi="Times New Roman" w:cs="Times New Roman"/>
          <w:color w:val="000000"/>
          <w:sz w:val="24"/>
          <w:szCs w:val="26"/>
          <w:lang w:eastAsia="tr-TR"/>
        </w:rPr>
        <w:br/>
        <w:t>veya bulundurulmasından bahsedilip, bir yıldan üç yıla kadar hapis ve otuz günden yüz güne kadar adlî para cezası ile cezalandırılması öngörülmüş; üçüncü fıkrasında ise, bu silahın salt ev veya işyerinde bulundurulması halinde bir yıldan iki yıla kadar hapis ve yirmi beş günden yüz güne kadar adlî para cezası öngörülmüştür. Bu halde salt ev veya işyerinde silah bulundurulması halinde daha az ceza verilmesi söz konusudur.</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Maddenin beşinci fıkrasında, tadil edilmiş kuru sıkı tabir edilen silahlar için</w:t>
      </w:r>
      <w:r w:rsidRPr="00AB0867">
        <w:rPr>
          <w:rFonts w:ascii="Times New Roman" w:eastAsia="Times New Roman" w:hAnsi="Times New Roman" w:cs="Times New Roman"/>
          <w:color w:val="000000"/>
          <w:sz w:val="24"/>
          <w:szCs w:val="26"/>
          <w:lang w:eastAsia="tr-TR"/>
        </w:rPr>
        <w:br/>
        <w:t>birinci fıkraya göre ceza verilmesi gerektiği belirtilmiştir. Bu halde ilk imal ediliş tarzı</w:t>
      </w:r>
      <w:r w:rsidRPr="00AB0867">
        <w:rPr>
          <w:rFonts w:ascii="Times New Roman" w:eastAsia="Times New Roman" w:hAnsi="Times New Roman" w:cs="Times New Roman"/>
          <w:color w:val="000000"/>
          <w:sz w:val="24"/>
          <w:szCs w:val="26"/>
          <w:lang w:eastAsia="tr-TR"/>
        </w:rPr>
        <w:br/>
        <w:t>itibariyle ateşli silahın evde bulundurulması halinde 3. fıkraya göre daha az ceza, başlangıçta ateşli silah olmayıp kuru sıkı olarak imal edilip, daha sonra tadil edilerek elde edilmiş ateşli silahın ev veya işyerinde bulundurulması halinde 1. fıkraya göre daha çok ceza verilmesine sebebiyet verilecektir.</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Ayrıca birinci fıkrada düzenlenen suçlara Asliye Ceza Mahkemesi bakmakla</w:t>
      </w:r>
      <w:r w:rsidRPr="00AB0867">
        <w:rPr>
          <w:rFonts w:ascii="Times New Roman" w:eastAsia="Times New Roman" w:hAnsi="Times New Roman" w:cs="Times New Roman"/>
          <w:color w:val="000000"/>
          <w:sz w:val="24"/>
          <w:szCs w:val="26"/>
          <w:lang w:eastAsia="tr-TR"/>
        </w:rPr>
        <w:br/>
        <w:t>görevli iken, üçüncü fıkrada düzenlenen suçlara Sulh Ceza Mahkemesi bakmakla görevli</w:t>
      </w:r>
      <w:r w:rsidRPr="00AB0867">
        <w:rPr>
          <w:rFonts w:ascii="Times New Roman" w:eastAsia="Times New Roman" w:hAnsi="Times New Roman" w:cs="Times New Roman"/>
          <w:color w:val="000000"/>
          <w:sz w:val="24"/>
          <w:szCs w:val="26"/>
          <w:lang w:eastAsia="tr-TR"/>
        </w:rPr>
        <w:br/>
        <w:t>olduğundan, görevli mahkemenin değişmesi durumu da ortaya çıkacaktır.</w:t>
      </w:r>
    </w:p>
    <w:p w:rsidR="00AB0867" w:rsidRDefault="00AB0867" w:rsidP="00AB0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0867">
        <w:rPr>
          <w:rFonts w:ascii="Times New Roman" w:eastAsia="Times New Roman" w:hAnsi="Times New Roman" w:cs="Times New Roman"/>
          <w:color w:val="000000"/>
          <w:sz w:val="24"/>
          <w:szCs w:val="26"/>
          <w:lang w:eastAsia="tr-TR"/>
        </w:rPr>
        <w:t>Bu nedenlerle, 6136 sayılı Kanunun beşinci fıkrasının Anayasanın 2.</w:t>
      </w:r>
      <w:r w:rsidRPr="00AB0867">
        <w:rPr>
          <w:rFonts w:ascii="Times New Roman" w:eastAsia="Times New Roman" w:hAnsi="Times New Roman" w:cs="Times New Roman"/>
          <w:color w:val="000000"/>
          <w:sz w:val="24"/>
          <w:szCs w:val="26"/>
          <w:lang w:eastAsia="tr-TR"/>
        </w:rPr>
        <w:br/>
        <w:t>maddesindeki hukuk devleti ilkesine, 10. maddesindeki kanun önünde eşitlik ilkesine, 36.</w:t>
      </w:r>
      <w:r w:rsidRPr="00AB0867">
        <w:rPr>
          <w:rFonts w:ascii="Times New Roman" w:eastAsia="Times New Roman" w:hAnsi="Times New Roman" w:cs="Times New Roman"/>
          <w:color w:val="000000"/>
          <w:sz w:val="24"/>
          <w:szCs w:val="26"/>
          <w:lang w:eastAsia="tr-TR"/>
        </w:rPr>
        <w:br/>
      </w:r>
      <w:r w:rsidRPr="00AB0867">
        <w:rPr>
          <w:rFonts w:ascii="Times New Roman" w:eastAsia="Times New Roman" w:hAnsi="Times New Roman" w:cs="Times New Roman"/>
          <w:color w:val="000000"/>
          <w:sz w:val="24"/>
          <w:szCs w:val="26"/>
          <w:lang w:eastAsia="tr-TR"/>
        </w:rPr>
        <w:lastRenderedPageBreak/>
        <w:t>maddesindeki adil yargılama ilkesine, 37. maddesindeki kanuni hâkim ilkesine, 38.</w:t>
      </w:r>
      <w:r w:rsidRPr="00AB0867">
        <w:rPr>
          <w:rFonts w:ascii="Times New Roman" w:eastAsia="Times New Roman" w:hAnsi="Times New Roman" w:cs="Times New Roman"/>
          <w:color w:val="000000"/>
          <w:sz w:val="24"/>
          <w:szCs w:val="26"/>
          <w:lang w:eastAsia="tr-TR"/>
        </w:rPr>
        <w:br/>
        <w:t>maddesindeki ceza sorumluluğunun şahsiliği ilkesine aykırı olduğu düşünüldüğünden,</w:t>
      </w:r>
      <w:r w:rsidRPr="00AB0867">
        <w:rPr>
          <w:rFonts w:ascii="Times New Roman" w:eastAsia="Times New Roman" w:hAnsi="Times New Roman" w:cs="Times New Roman"/>
          <w:color w:val="000000"/>
          <w:sz w:val="24"/>
          <w:szCs w:val="26"/>
          <w:lang w:eastAsia="tr-TR"/>
        </w:rPr>
        <w:br/>
        <w:t>belirtilen maddelerin Anayasaya aykırılıkları yönünden Anayasanın 152. maddesi uyarınca</w:t>
      </w:r>
      <w:r w:rsidRPr="00AB0867">
        <w:rPr>
          <w:rFonts w:ascii="Times New Roman" w:eastAsia="Times New Roman" w:hAnsi="Times New Roman" w:cs="Times New Roman"/>
          <w:color w:val="000000"/>
          <w:sz w:val="24"/>
          <w:szCs w:val="26"/>
          <w:lang w:eastAsia="tr-TR"/>
        </w:rPr>
        <w:br/>
        <w:t>gerekli incelemenin Anayasa Mahkemesince yapılması saygıyla arz olunur.'"</w:t>
      </w:r>
    </w:p>
    <w:p w:rsidR="00CE1FB9" w:rsidRPr="00AB0867" w:rsidRDefault="00CE1FB9" w:rsidP="00AB0867">
      <w:pPr>
        <w:spacing w:before="100" w:beforeAutospacing="1" w:after="100" w:afterAutospacing="1" w:line="240" w:lineRule="auto"/>
        <w:ind w:firstLine="709"/>
        <w:jc w:val="both"/>
        <w:rPr>
          <w:rFonts w:ascii="Times New Roman" w:hAnsi="Times New Roman" w:cs="Times New Roman"/>
          <w:sz w:val="24"/>
        </w:rPr>
      </w:pPr>
    </w:p>
    <w:sectPr w:rsidR="00CE1FB9" w:rsidRPr="00AB086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FF1" w:rsidRDefault="007B6FF1" w:rsidP="00AB0867">
      <w:pPr>
        <w:spacing w:after="0" w:line="240" w:lineRule="auto"/>
      </w:pPr>
      <w:r>
        <w:separator/>
      </w:r>
    </w:p>
  </w:endnote>
  <w:endnote w:type="continuationSeparator" w:id="0">
    <w:p w:rsidR="007B6FF1" w:rsidRDefault="007B6FF1" w:rsidP="00AB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67" w:rsidRDefault="00AB0867" w:rsidP="00A42F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0867" w:rsidRDefault="00AB0867" w:rsidP="00AB08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67" w:rsidRPr="00AB0867" w:rsidRDefault="00AB0867" w:rsidP="00A42FC8">
    <w:pPr>
      <w:pStyle w:val="Altbilgi"/>
      <w:framePr w:wrap="around" w:vAnchor="text" w:hAnchor="margin" w:xAlign="right" w:y="1"/>
      <w:rPr>
        <w:rStyle w:val="SayfaNumaras"/>
        <w:rFonts w:ascii="Times New Roman" w:hAnsi="Times New Roman" w:cs="Times New Roman"/>
      </w:rPr>
    </w:pPr>
    <w:r w:rsidRPr="00AB0867">
      <w:rPr>
        <w:rStyle w:val="SayfaNumaras"/>
        <w:rFonts w:ascii="Times New Roman" w:hAnsi="Times New Roman" w:cs="Times New Roman"/>
      </w:rPr>
      <w:fldChar w:fldCharType="begin"/>
    </w:r>
    <w:r w:rsidRPr="00AB0867">
      <w:rPr>
        <w:rStyle w:val="SayfaNumaras"/>
        <w:rFonts w:ascii="Times New Roman" w:hAnsi="Times New Roman" w:cs="Times New Roman"/>
      </w:rPr>
      <w:instrText xml:space="preserve">PAGE  </w:instrText>
    </w:r>
    <w:r w:rsidRPr="00AB086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B0867">
      <w:rPr>
        <w:rStyle w:val="SayfaNumaras"/>
        <w:rFonts w:ascii="Times New Roman" w:hAnsi="Times New Roman" w:cs="Times New Roman"/>
      </w:rPr>
      <w:fldChar w:fldCharType="end"/>
    </w:r>
  </w:p>
  <w:p w:rsidR="00AB0867" w:rsidRPr="00AB0867" w:rsidRDefault="00AB0867" w:rsidP="00AB08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FF1" w:rsidRDefault="007B6FF1" w:rsidP="00AB0867">
      <w:pPr>
        <w:spacing w:after="0" w:line="240" w:lineRule="auto"/>
      </w:pPr>
      <w:r>
        <w:separator/>
      </w:r>
    </w:p>
  </w:footnote>
  <w:footnote w:type="continuationSeparator" w:id="0">
    <w:p w:rsidR="007B6FF1" w:rsidRDefault="007B6FF1" w:rsidP="00AB0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67" w:rsidRPr="0004685A" w:rsidRDefault="00AB0867" w:rsidP="00AB086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685A">
      <w:rPr>
        <w:rFonts w:ascii="Times New Roman" w:eastAsia="Times New Roman" w:hAnsi="Times New Roman" w:cs="Times New Roman"/>
        <w:b/>
        <w:bCs/>
        <w:color w:val="000000"/>
        <w:sz w:val="24"/>
        <w:szCs w:val="26"/>
        <w:lang w:eastAsia="tr-TR"/>
      </w:rPr>
      <w:t>Esas Sayısı : 2008/99</w:t>
    </w:r>
  </w:p>
  <w:p w:rsidR="00AB0867" w:rsidRPr="0004685A" w:rsidRDefault="00AB0867" w:rsidP="00AB086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685A">
      <w:rPr>
        <w:rFonts w:ascii="Times New Roman" w:eastAsia="Times New Roman" w:hAnsi="Times New Roman" w:cs="Times New Roman"/>
        <w:b/>
        <w:bCs/>
        <w:color w:val="000000"/>
        <w:sz w:val="24"/>
        <w:szCs w:val="26"/>
        <w:lang w:eastAsia="tr-TR"/>
      </w:rPr>
      <w:t>Karar Sayısı : 2010/42</w:t>
    </w:r>
  </w:p>
  <w:p w:rsidR="00AB0867" w:rsidRPr="00AB0867" w:rsidRDefault="00AB0867" w:rsidP="00AB08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67"/>
    <w:rsid w:val="007B6FF1"/>
    <w:rsid w:val="00AB086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517E6-623E-4769-971F-A68D3E99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08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0867"/>
  </w:style>
  <w:style w:type="paragraph" w:styleId="Altbilgi">
    <w:name w:val="footer"/>
    <w:basedOn w:val="Normal"/>
    <w:link w:val="AltbilgiChar"/>
    <w:uiPriority w:val="99"/>
    <w:unhideWhenUsed/>
    <w:rsid w:val="00AB08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0867"/>
  </w:style>
  <w:style w:type="character" w:styleId="SayfaNumaras">
    <w:name w:val="page number"/>
    <w:basedOn w:val="VarsaylanParagrafYazTipi"/>
    <w:uiPriority w:val="99"/>
    <w:semiHidden/>
    <w:unhideWhenUsed/>
    <w:rsid w:val="00AB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2019-02-01T06:14:00Z</dcterms:created>
  <dcterms:modified xsi:type="dcterms:W3CDTF">2019-02-01T06:15:00Z</dcterms:modified>
</cp:coreProperties>
</file>