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04B" w:rsidRPr="0025004B" w:rsidRDefault="0025004B" w:rsidP="0025004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25004B">
        <w:rPr>
          <w:rFonts w:ascii="Times New Roman" w:eastAsia="Times New Roman" w:hAnsi="Times New Roman" w:cs="Times New Roman"/>
          <w:b/>
          <w:bCs/>
          <w:color w:val="000000"/>
          <w:sz w:val="24"/>
          <w:szCs w:val="26"/>
          <w:lang w:eastAsia="tr-TR"/>
        </w:rPr>
        <w:t>"...</w:t>
      </w:r>
    </w:p>
    <w:p w:rsidR="0025004B" w:rsidRDefault="0025004B" w:rsidP="002500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04B">
        <w:rPr>
          <w:rFonts w:ascii="Times New Roman" w:eastAsia="Times New Roman" w:hAnsi="Times New Roman" w:cs="Times New Roman"/>
          <w:b/>
          <w:bCs/>
          <w:color w:val="000000"/>
          <w:sz w:val="24"/>
          <w:szCs w:val="26"/>
          <w:lang w:eastAsia="tr-TR"/>
        </w:rPr>
        <w:t>II- İTİRAZIN GEREKÇESİ</w:t>
      </w:r>
      <w:bookmarkStart w:id="0" w:name="_GoBack"/>
      <w:bookmarkEnd w:id="0"/>
    </w:p>
    <w:p w:rsidR="0025004B" w:rsidRDefault="0025004B" w:rsidP="002500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04B">
        <w:rPr>
          <w:rFonts w:ascii="Times New Roman" w:eastAsia="Times New Roman" w:hAnsi="Times New Roman" w:cs="Times New Roman"/>
          <w:color w:val="000000"/>
          <w:sz w:val="24"/>
          <w:szCs w:val="26"/>
          <w:lang w:eastAsia="tr-TR"/>
        </w:rPr>
        <w:t>Başvuru kararının gerekçe bölümü şöyledir:</w:t>
      </w:r>
    </w:p>
    <w:p w:rsidR="0025004B" w:rsidRDefault="0025004B" w:rsidP="002500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04B">
        <w:rPr>
          <w:rFonts w:ascii="Times New Roman" w:eastAsia="Times New Roman" w:hAnsi="Times New Roman" w:cs="Times New Roman"/>
          <w:color w:val="000000"/>
          <w:sz w:val="24"/>
          <w:szCs w:val="26"/>
          <w:lang w:eastAsia="tr-TR"/>
        </w:rPr>
        <w:t xml:space="preserve"> 'Kamu davası TCK.nın 301. madde hükümlerinin uygulanmasına ilişkindir.</w:t>
      </w:r>
    </w:p>
    <w:p w:rsidR="0025004B" w:rsidRDefault="0025004B" w:rsidP="002500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04B">
        <w:rPr>
          <w:rFonts w:ascii="Times New Roman" w:eastAsia="Times New Roman" w:hAnsi="Times New Roman" w:cs="Times New Roman"/>
          <w:color w:val="000000"/>
          <w:sz w:val="24"/>
          <w:szCs w:val="26"/>
          <w:lang w:eastAsia="tr-TR"/>
        </w:rPr>
        <w:t xml:space="preserve"> TCK 301. maddesinde Türk Milletini, Türkiye Cumhuriyeti Devleti, Devletin kurum ve organlarını alenen aşağılayan kişi hakkında ceza verilmesi gerektiği düzenlenmiştir.</w:t>
      </w:r>
    </w:p>
    <w:p w:rsidR="0025004B" w:rsidRDefault="0025004B" w:rsidP="002500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04B">
        <w:rPr>
          <w:rFonts w:ascii="Times New Roman" w:eastAsia="Times New Roman" w:hAnsi="Times New Roman" w:cs="Times New Roman"/>
          <w:color w:val="000000"/>
          <w:sz w:val="24"/>
          <w:szCs w:val="26"/>
          <w:lang w:eastAsia="tr-TR"/>
        </w:rPr>
        <w:t xml:space="preserve"> TCK 301/2. maddesinde Devletin askeri ve emniyet teşkilatını alenen aşağılayanların cezalandırılacağı öngörülmüştür.</w:t>
      </w:r>
    </w:p>
    <w:p w:rsidR="0025004B" w:rsidRDefault="0025004B" w:rsidP="002500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04B">
        <w:rPr>
          <w:rFonts w:ascii="Times New Roman" w:eastAsia="Times New Roman" w:hAnsi="Times New Roman" w:cs="Times New Roman"/>
          <w:color w:val="000000"/>
          <w:sz w:val="24"/>
          <w:szCs w:val="26"/>
          <w:lang w:eastAsia="tr-TR"/>
        </w:rPr>
        <w:t xml:space="preserve"> TCK 301/4. maddesinde bu suçtan dolayı kovuşturma yapılması Adalet Bakanı'nın iznine bağlıdır.</w:t>
      </w:r>
    </w:p>
    <w:p w:rsidR="0025004B" w:rsidRDefault="0025004B" w:rsidP="002500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04B">
        <w:rPr>
          <w:rFonts w:ascii="Times New Roman" w:eastAsia="Times New Roman" w:hAnsi="Times New Roman" w:cs="Times New Roman"/>
          <w:color w:val="000000"/>
          <w:sz w:val="24"/>
          <w:szCs w:val="26"/>
          <w:lang w:eastAsia="tr-TR"/>
        </w:rPr>
        <w:t xml:space="preserve"> TCK 301/4. maddesi hükmünün Anayasamızın 2., 8. ve 9. maddeleri ile Anayasa'nın Başlangıç kısmının beşinci paragrafı hükümlerine aykırılığı düşünülmüştür.</w:t>
      </w:r>
    </w:p>
    <w:p w:rsidR="0025004B" w:rsidRDefault="0025004B" w:rsidP="002500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04B">
        <w:rPr>
          <w:rFonts w:ascii="Times New Roman" w:eastAsia="Times New Roman" w:hAnsi="Times New Roman" w:cs="Times New Roman"/>
          <w:color w:val="000000"/>
          <w:sz w:val="24"/>
          <w:szCs w:val="26"/>
          <w:lang w:eastAsia="tr-TR"/>
        </w:rPr>
        <w:t xml:space="preserve"> Anayasa'nın 2. maddesinde, Türkiye Cumhuriyeti'nin Atatürk Milliyetçiğine bağlı, başlangıçta belirtilen temel ilkelere dayanan, demokratik, laik ve sosyal bir hukuk Devletidir.</w:t>
      </w:r>
    </w:p>
    <w:p w:rsidR="0025004B" w:rsidRDefault="0025004B" w:rsidP="002500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04B">
        <w:rPr>
          <w:rFonts w:ascii="Times New Roman" w:eastAsia="Times New Roman" w:hAnsi="Times New Roman" w:cs="Times New Roman"/>
          <w:color w:val="000000"/>
          <w:sz w:val="24"/>
          <w:szCs w:val="26"/>
          <w:lang w:eastAsia="tr-TR"/>
        </w:rPr>
        <w:t xml:space="preserve"> Anayasa'nın 8. maddesinde, yürütme yetkisinin Bakanlar Kurulu'na ait olduğu belirtilmiştir. Adalet Bakanı da siyasi partiye bağlı olup Bakanlar Kurulu'nun bir üyesidir.</w:t>
      </w:r>
    </w:p>
    <w:p w:rsidR="0025004B" w:rsidRDefault="0025004B" w:rsidP="002500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04B">
        <w:rPr>
          <w:rFonts w:ascii="Times New Roman" w:eastAsia="Times New Roman" w:hAnsi="Times New Roman" w:cs="Times New Roman"/>
          <w:color w:val="000000"/>
          <w:sz w:val="24"/>
          <w:szCs w:val="26"/>
          <w:lang w:eastAsia="tr-TR"/>
        </w:rPr>
        <w:t xml:space="preserve"> Anayasa'nın 9. maddesinde, yargı yetkisinin Türk Milleti adına bağımsız mahkemelerce kullanılacağı belirtilmiştir.</w:t>
      </w:r>
    </w:p>
    <w:p w:rsidR="0025004B" w:rsidRDefault="0025004B" w:rsidP="002500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04B">
        <w:rPr>
          <w:rFonts w:ascii="Times New Roman" w:eastAsia="Times New Roman" w:hAnsi="Times New Roman" w:cs="Times New Roman"/>
          <w:color w:val="000000"/>
          <w:sz w:val="24"/>
          <w:szCs w:val="26"/>
          <w:lang w:eastAsia="tr-TR"/>
        </w:rPr>
        <w:t xml:space="preserve"> Anayasamızın Başlangıç kısmının beşinci paragrafında hiçbir faaliyetin Türk Milli menfaatlerinin, Türklüğün tarihi ve manevi değerlerinin Atatürk Milliyetçiliği ilke ve inkılapları ve medeniyetçiliğinin karşısında korunma göremeyeceği belirtilmiştir.</w:t>
      </w:r>
    </w:p>
    <w:p w:rsidR="0025004B" w:rsidRDefault="0025004B" w:rsidP="002500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04B">
        <w:rPr>
          <w:rFonts w:ascii="Times New Roman" w:eastAsia="Times New Roman" w:hAnsi="Times New Roman" w:cs="Times New Roman"/>
          <w:color w:val="000000"/>
          <w:sz w:val="24"/>
          <w:szCs w:val="26"/>
          <w:lang w:eastAsia="tr-TR"/>
        </w:rPr>
        <w:t xml:space="preserve"> Anayasa'nın 176/1. maddesine göre Anayasa'nın dayandığı temel görüş ve ilkeleri belirten Başlangıç kısmı Anayasa metnine dahildir.</w:t>
      </w:r>
    </w:p>
    <w:p w:rsidR="0025004B" w:rsidRDefault="0025004B" w:rsidP="002500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04B">
        <w:rPr>
          <w:rFonts w:ascii="Times New Roman" w:eastAsia="Times New Roman" w:hAnsi="Times New Roman" w:cs="Times New Roman"/>
          <w:color w:val="000000"/>
          <w:sz w:val="24"/>
          <w:szCs w:val="26"/>
          <w:lang w:eastAsia="tr-TR"/>
        </w:rPr>
        <w:t xml:space="preserve"> Türk Ceza Yasası'nın 301/4. maddesine göre TCK 301. madde kapsamında kalan bir suçu işleyen kişi hakkında Adalet Bakanı'nın izin vermemesi halinde hiçbir şekilde soruşturma yapılmayacaktır. Adalet Bakanı'na yürütmenin bir üyesi olarak yargı yetkisi tanınmıştır. Bu sonuç da hukuk devleti ilkesi, kuvvetler ayrılığı, yargı bağımsızlığı ve kişilerin hak ve özgürlüklerinin teminatlarından olan yargı güvencesine (yargıya müdahale edilmemesi) açıkça aykırıdır. Yürütmenin yargı üzerinde her türlü etkisinin bertaraf edilmesi, yargılamanın tarafsız yürütülmesi ilkesinin gereğidir.</w:t>
      </w:r>
    </w:p>
    <w:p w:rsidR="0025004B" w:rsidRDefault="0025004B" w:rsidP="002500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04B">
        <w:rPr>
          <w:rFonts w:ascii="Times New Roman" w:eastAsia="Times New Roman" w:hAnsi="Times New Roman" w:cs="Times New Roman"/>
          <w:color w:val="000000"/>
          <w:sz w:val="24"/>
          <w:szCs w:val="26"/>
          <w:lang w:eastAsia="tr-TR"/>
        </w:rPr>
        <w:t xml:space="preserve"> Herhangi bir kamu görevlisine karşı görevi nedeniyle vaki olan hakaret fiillerine doğrudan doğruya C. Savcısına soruşturma yetkisi veren Türk Ceza Yasası, aynı fiilin aynı saikle aynı kamu görevlisinin içinde bulunduğu mesleki camiaya karşı işlenmesi halinde aynı C. Savcısına doğrudan soruşturma yetkisinin verilmemesi yasa içi bir çelişkidir.</w:t>
      </w:r>
    </w:p>
    <w:p w:rsidR="0025004B" w:rsidRDefault="0025004B" w:rsidP="002500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04B">
        <w:rPr>
          <w:rFonts w:ascii="Times New Roman" w:eastAsia="Times New Roman" w:hAnsi="Times New Roman" w:cs="Times New Roman"/>
          <w:color w:val="000000"/>
          <w:sz w:val="24"/>
          <w:szCs w:val="26"/>
          <w:lang w:eastAsia="tr-TR"/>
        </w:rPr>
        <w:lastRenderedPageBreak/>
        <w:t xml:space="preserve"> Adalet Bakanı'nın TCK 301/4. maddesine göre yargılama izni verdiği bir kişi hakkında C. Savcısının ceza davası açmamayı tercih etmesi, aynı C. Savcısı hakkında özlük işlerini düzenleyen Adalet Bakanlığı teşkilatı ile Adalet Bakanlığı'na doğrudan bağlı olan teftiş kurulunu karşısına alması gerekir.</w:t>
      </w:r>
    </w:p>
    <w:p w:rsidR="0025004B" w:rsidRDefault="0025004B" w:rsidP="002500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04B">
        <w:rPr>
          <w:rFonts w:ascii="Times New Roman" w:eastAsia="Times New Roman" w:hAnsi="Times New Roman" w:cs="Times New Roman"/>
          <w:color w:val="000000"/>
          <w:sz w:val="24"/>
          <w:szCs w:val="26"/>
          <w:lang w:eastAsia="tr-TR"/>
        </w:rPr>
        <w:t xml:space="preserve"> Türkiye Cumhuriyeti'nin kuruluşundan bugüne kadar hukuki ve fiziki alt yapısına karşı siyasi partilerden de gelen hukuk dışı yönelimler ortaya çıkmıştır. Ayrılıkçı, yıkıcı ve bölücü yönelimleri nedeniyle bir siyasi partinin Anayasa Mahkemesi'nce kapatılması, aynı parti üyesi Adalet Bakanı'nın kendi partisi mensuplarını koruyup kollamasının engellenmesi hukukun objektifliği ilkesinin bir gereğidir. Adalet Bakanı'nın uygulamalarına karşı idari yargıda dava açma olanağı var ise de; bu prosedür suç işleyenler bakımından zamanaşımı süresinin işlemesi ve bakan izni olmadan delil toplama yetkisi olmayan C. Savcısının uygulamada çok uzun zaman alan idari yargı yolunu denemesi hukuk açısından pratik bir yarar sağlamayacağı da açıkça ortadadır.</w:t>
      </w:r>
    </w:p>
    <w:p w:rsidR="0025004B" w:rsidRDefault="0025004B" w:rsidP="002500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04B">
        <w:rPr>
          <w:rFonts w:ascii="Times New Roman" w:eastAsia="Times New Roman" w:hAnsi="Times New Roman" w:cs="Times New Roman"/>
          <w:color w:val="000000"/>
          <w:sz w:val="24"/>
          <w:szCs w:val="26"/>
          <w:lang w:eastAsia="tr-TR"/>
        </w:rPr>
        <w:t xml:space="preserve"> Bu itibarla, TCK 301/4. maddesi hükmünün Anayasa'ya aykırılığı nedeniyle iptal edilmesi gerekir.</w:t>
      </w:r>
    </w:p>
    <w:p w:rsidR="0025004B" w:rsidRDefault="0025004B" w:rsidP="002500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04B">
        <w:rPr>
          <w:rFonts w:ascii="Times New Roman" w:eastAsia="Times New Roman" w:hAnsi="Times New Roman" w:cs="Times New Roman"/>
          <w:color w:val="000000"/>
          <w:sz w:val="24"/>
          <w:szCs w:val="26"/>
          <w:lang w:eastAsia="tr-TR"/>
        </w:rPr>
        <w:t xml:space="preserve"> KARAR:</w:t>
      </w:r>
    </w:p>
    <w:p w:rsidR="0025004B" w:rsidRDefault="0025004B" w:rsidP="002500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04B">
        <w:rPr>
          <w:rFonts w:ascii="Times New Roman" w:eastAsia="Times New Roman" w:hAnsi="Times New Roman" w:cs="Times New Roman"/>
          <w:color w:val="000000"/>
          <w:sz w:val="24"/>
          <w:szCs w:val="26"/>
          <w:lang w:eastAsia="tr-TR"/>
        </w:rPr>
        <w:t xml:space="preserve"> Açıklanan nedenlerle, TCK 301/4. maddesi hükmünün yukarda belirtildiği şekilde Anayasamızın Başlangıç kısmının beşinci paragrafına, Anayasa'nın 2. maddesinde belirtilen hukuk devleti ilkesine, 8. maddesinde belirtilen yürütme yetkisinin Bakanlar Kurulu'na ait olmasına, Anayasa'nın 9. maddesinde belirtilen yargı yetkisinin bağımsız mahkemelerce kullanılabileceği ilkesine aykırı bulunduğundan, gereğinin takdiri için derdest dava dosyasının onaylı örneği ile birlikte Anayasa'nın 152/1. maddesine göre Anayasa Mahkemesi'ne gönderilmesine,</w:t>
      </w:r>
    </w:p>
    <w:p w:rsidR="0025004B" w:rsidRDefault="0025004B" w:rsidP="002500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04B">
        <w:rPr>
          <w:rFonts w:ascii="Times New Roman" w:eastAsia="Times New Roman" w:hAnsi="Times New Roman" w:cs="Times New Roman"/>
          <w:color w:val="000000"/>
          <w:sz w:val="24"/>
          <w:szCs w:val="26"/>
          <w:lang w:eastAsia="tr-TR"/>
        </w:rPr>
        <w:t xml:space="preserve"> Anayasa'nın 152/3. maddesine göre dava sonucunun beklenilmesine karar verildi.'"</w:t>
      </w:r>
    </w:p>
    <w:p w:rsidR="00CE1FB9" w:rsidRPr="0025004B" w:rsidRDefault="00CE1FB9" w:rsidP="0025004B">
      <w:pPr>
        <w:spacing w:before="100" w:beforeAutospacing="1" w:after="100" w:afterAutospacing="1" w:line="240" w:lineRule="auto"/>
        <w:ind w:firstLine="709"/>
        <w:jc w:val="both"/>
        <w:rPr>
          <w:rFonts w:ascii="Times New Roman" w:hAnsi="Times New Roman" w:cs="Times New Roman"/>
          <w:sz w:val="24"/>
        </w:rPr>
      </w:pPr>
    </w:p>
    <w:sectPr w:rsidR="00CE1FB9" w:rsidRPr="0025004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9EC" w:rsidRDefault="006709EC" w:rsidP="0025004B">
      <w:pPr>
        <w:spacing w:after="0" w:line="240" w:lineRule="auto"/>
      </w:pPr>
      <w:r>
        <w:separator/>
      </w:r>
    </w:p>
  </w:endnote>
  <w:endnote w:type="continuationSeparator" w:id="0">
    <w:p w:rsidR="006709EC" w:rsidRDefault="006709EC" w:rsidP="00250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04B" w:rsidRDefault="0025004B" w:rsidP="002674A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5004B" w:rsidRDefault="0025004B" w:rsidP="0025004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04B" w:rsidRPr="0025004B" w:rsidRDefault="0025004B" w:rsidP="002674A3">
    <w:pPr>
      <w:pStyle w:val="Altbilgi"/>
      <w:framePr w:wrap="around" w:vAnchor="text" w:hAnchor="margin" w:xAlign="right" w:y="1"/>
      <w:rPr>
        <w:rStyle w:val="SayfaNumaras"/>
        <w:rFonts w:ascii="Times New Roman" w:hAnsi="Times New Roman" w:cs="Times New Roman"/>
      </w:rPr>
    </w:pPr>
    <w:r w:rsidRPr="0025004B">
      <w:rPr>
        <w:rStyle w:val="SayfaNumaras"/>
        <w:rFonts w:ascii="Times New Roman" w:hAnsi="Times New Roman" w:cs="Times New Roman"/>
      </w:rPr>
      <w:fldChar w:fldCharType="begin"/>
    </w:r>
    <w:r w:rsidRPr="0025004B">
      <w:rPr>
        <w:rStyle w:val="SayfaNumaras"/>
        <w:rFonts w:ascii="Times New Roman" w:hAnsi="Times New Roman" w:cs="Times New Roman"/>
      </w:rPr>
      <w:instrText xml:space="preserve">PAGE  </w:instrText>
    </w:r>
    <w:r w:rsidRPr="0025004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5004B">
      <w:rPr>
        <w:rStyle w:val="SayfaNumaras"/>
        <w:rFonts w:ascii="Times New Roman" w:hAnsi="Times New Roman" w:cs="Times New Roman"/>
      </w:rPr>
      <w:fldChar w:fldCharType="end"/>
    </w:r>
  </w:p>
  <w:p w:rsidR="0025004B" w:rsidRPr="0025004B" w:rsidRDefault="0025004B" w:rsidP="0025004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9EC" w:rsidRDefault="006709EC" w:rsidP="0025004B">
      <w:pPr>
        <w:spacing w:after="0" w:line="240" w:lineRule="auto"/>
      </w:pPr>
      <w:r>
        <w:separator/>
      </w:r>
    </w:p>
  </w:footnote>
  <w:footnote w:type="continuationSeparator" w:id="0">
    <w:p w:rsidR="006709EC" w:rsidRDefault="006709EC" w:rsidP="002500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04B" w:rsidRPr="00EE6033" w:rsidRDefault="0025004B" w:rsidP="0025004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E6033">
      <w:rPr>
        <w:rFonts w:ascii="Times New Roman" w:eastAsia="Times New Roman" w:hAnsi="Times New Roman" w:cs="Times New Roman"/>
        <w:b/>
        <w:bCs/>
        <w:color w:val="000000"/>
        <w:sz w:val="24"/>
        <w:szCs w:val="26"/>
        <w:lang w:eastAsia="tr-TR"/>
      </w:rPr>
      <w:t>Esas Sayısı       : 2009/38</w:t>
    </w:r>
  </w:p>
  <w:p w:rsidR="0025004B" w:rsidRPr="00EE6033" w:rsidRDefault="0025004B" w:rsidP="0025004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E6033">
      <w:rPr>
        <w:rFonts w:ascii="Times New Roman" w:eastAsia="Times New Roman" w:hAnsi="Times New Roman" w:cs="Times New Roman"/>
        <w:b/>
        <w:bCs/>
        <w:color w:val="000000"/>
        <w:sz w:val="24"/>
        <w:szCs w:val="26"/>
        <w:lang w:eastAsia="tr-TR"/>
      </w:rPr>
      <w:t>Karar Sayısı    : 2009/70</w:t>
    </w:r>
  </w:p>
  <w:p w:rsidR="0025004B" w:rsidRPr="0025004B" w:rsidRDefault="0025004B" w:rsidP="0025004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4B"/>
    <w:rsid w:val="0025004B"/>
    <w:rsid w:val="006709E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2B68B-9DA7-4AB9-BC24-E739F1DE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5004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5004B"/>
  </w:style>
  <w:style w:type="paragraph" w:styleId="Altbilgi">
    <w:name w:val="footer"/>
    <w:basedOn w:val="Normal"/>
    <w:link w:val="AltbilgiChar"/>
    <w:uiPriority w:val="99"/>
    <w:unhideWhenUsed/>
    <w:rsid w:val="0025004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5004B"/>
  </w:style>
  <w:style w:type="character" w:styleId="SayfaNumaras">
    <w:name w:val="page number"/>
    <w:basedOn w:val="VarsaylanParagrafYazTipi"/>
    <w:uiPriority w:val="99"/>
    <w:semiHidden/>
    <w:unhideWhenUsed/>
    <w:rsid w:val="00250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71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3600</Characters>
  <Application>Microsoft Office Word</Application>
  <DocSecurity>0</DocSecurity>
  <Lines>30</Lines>
  <Paragraphs>8</Paragraphs>
  <ScaleCrop>false</ScaleCrop>
  <Company/>
  <LinksUpToDate>false</LinksUpToDate>
  <CharactersWithSpaces>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2019-01-31T06:13:00Z</dcterms:created>
  <dcterms:modified xsi:type="dcterms:W3CDTF">2019-01-31T06:14:00Z</dcterms:modified>
</cp:coreProperties>
</file>