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10" w:rsidRP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F1910">
        <w:rPr>
          <w:rFonts w:ascii="Times New Roman" w:eastAsia="Times New Roman" w:hAnsi="Times New Roman" w:cs="Times New Roman"/>
          <w:b/>
          <w:bCs/>
          <w:color w:val="000000"/>
          <w:sz w:val="24"/>
          <w:szCs w:val="26"/>
          <w:lang w:eastAsia="tr-TR"/>
        </w:rPr>
        <w:t>"...</w:t>
      </w:r>
    </w:p>
    <w:p w:rsidR="00AF1910" w:rsidRP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b/>
          <w:bCs/>
          <w:color w:val="000000"/>
          <w:sz w:val="24"/>
          <w:szCs w:val="26"/>
          <w:lang w:eastAsia="tr-TR"/>
        </w:rPr>
        <w:t>II- İTİRAZIN GEREKÇESİ                  </w:t>
      </w:r>
    </w:p>
    <w:p w:rsidR="00AF1910" w:rsidRP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Başvuru kararının gerekçe bölümü şöyledir:</w:t>
      </w:r>
      <w:bookmarkStart w:id="0" w:name="_GoBack"/>
      <w:bookmarkEnd w:id="0"/>
      <w:r w:rsidRPr="00AF1910">
        <w:rPr>
          <w:rFonts w:ascii="Times New Roman" w:eastAsia="Times New Roman" w:hAnsi="Times New Roman" w:cs="Times New Roman"/>
          <w:color w:val="000000"/>
          <w:sz w:val="24"/>
          <w:szCs w:val="26"/>
          <w:lang w:eastAsia="tr-TR"/>
        </w:rPr>
        <w:t>                  </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'Kamu davası TCK.nın 301. madde hükümlerinin uygulanmasına ilişkindir.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TCK 301. maddesinde Türk Milletini, Türkiye Cumhuriyeti Devleti, Devletin kurum ve organlarını alenen aşağılayan kişi hakkında ceza verilmesi gerektiği düzenlenmiştir.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TCK 301/2. maddesinde Devletin askeri ve emniyet teşkilatını alenen aşağılayanların cezalandırılacağı öngörülmüştür.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TCK 301/4. maddesinde bu suçtan dolayı kovuşturma yapılması Adalet Bakanı'nın iznine bağlıdır.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TCK 301/4. maddesi hükmünün Anayasamızın 2., 8. ve 9.  maddeleri ile Anayasa'nın Başlangıç kısmının beşinci paragrafı hükümlerine  aykırılığı düşünülmüştür.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Anayasa'nın 2. maddesinde, Türkiye Cumhuriyeti'nin Atatürk Milliyetçiğine bağlı, başlangıçta belirtilen temel ilkelere dayanan, demokratik, laik ve sosyal bir hukuk Devletidir.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Anayasa'nın 8. maddesinde, yürütme yetkisinin Bakanlar Kurulu'na ait olduğu belirtilmiştir. Adalet Bakanı da siyasi partiye bağlı olup Bakanlar Kurulu'nun bir üyesidir.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Anayasa'nın 9. maddesinde, yargı yetkisinin Türk Milleti adına bağımsız mahkemelerce kullanılacağı belirtilmiştir.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Anayasamızın Başlangıç kısmının beşinci paragrafında hiçbir faaliyetin Türk Milli menfaatlerinin, Türklüğün tarihi ve manevi değerlerinin Atatürk Milliyetçiliği ilke ve inkılapları ve medeniyetçiliğinin karşısında korunma göremeyeceği belirtilmiştir.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Anayasa'nın 176/1. maddesine göre Anayasa'nın dayandığı temel görüş ve ilkeleri belirten Başlangıç kısmı Anayasa metnine dahildir.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Türk Ceza Yasası'nın 301/4. maddesine göre TCK 301. madde kapsamında kalan bir suçu işleyen kişi hakkında Adalet Bakanı'nın izin vermemesi halinde hiçbir şekilde soruşturma yapılmayacaktır. Adalet Bakanı'na yürütmenin bir üyesi olarak yargı yetkisi tanınmıştır. Bu sonuç da hukuk devleti ilkesi, kuvvetler ayrılığı, yargı bağımsızlığı ve kişilerin hak ve özgürlüklerinin teminatlarından olan yargı güvencesine (yargıya müdahale edilmemesi) açıkça aykırıdır. Yürütmenin yargı üzerinde her türlü etkisinin bertaraf edilmesi, yargılamanın tarafsız yürütülmesi ilkesinin gereğidir.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Herhangi bir kamu görevlisine karşı görevi nedeniyle vaki olan hakaret fiillerine doğrudan doğruya C.Savcısına soruşturma yetkisi veren Türk Ceza Yasası, aynı fiilin aynı saikle aynı kamu görevlisinin içinde bulunduğu mesleki camiaya karşı işlenmesi halinde aynı C.Savcısına doğrudan soruşturma yetkisinin verilmemesi yasa içi bir çelişkidir.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lastRenderedPageBreak/>
        <w:t>Adalet Bakanı'nın TCK 301/4. maddesine göre yargılama izni verdiği bir kişi hakkında C.Savcısının ceza davası açmamayı tercih etmesi, aynı C.Savcısı hakkında özlük işlerini düzenleyen Adalet Bakanlığı teşkilatı ile Adalet Bakanlığı'na doğrudan bağlı olan teftiş kurulunu karşısına alması gerekir.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Türkiye Cumhuriyeti'nin kuruluşundan bugüne kadar hukuki ve fiziki alt yapısına karşı siyasi partilerden de gelen hukuk dışı yönelimler ortaya çıkmıştır. Ayrılıkçı, yıkıcı ve bölücü yönelimleri nedeniyle bir siyasi partinin Anayasa Mahkemesi'nce kapatılması, aynı parti üyesi Adalet Bakanı'nın kendi partisi mensuplarını koruyup kollamasının engellenmesi hukukun objektifliği ilkesinin bir gereğidir. Adalet Bakanı'nın uygulamalarına karşı idari yargıda dava açma olanağı var ise de; bu prosedür suç işleyenler bakımından zamanaşımı süresinin işlemesi ve bakan izni olmadan delil toplama yetkisi olmayan C.Savcısının uygulamada çok uzun zaman alan idari yargı yolunu denemesi hukuk açısından pratik bir yarar sağlamayacağı da açıkça ortadadır.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Bu itibarla, TCK 301/4. maddesi hükmünün Anayasa'ya aykırılığı nedeniyle iptal edilmesi gerekir.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KARAR:</w:t>
      </w:r>
    </w:p>
    <w:p w:rsid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Açıklanan nedenlerle, TCK 301/4. maddesi hükmünün yukarda belirtildiği şekilde Anayasamızın Başlangıç kısmının beşinci paragrafına, Anayasa'nın 2. maddesinde belirtilen hukuk devleti ilkesine, 8. maddesinde belirtilen yürütme yetkisinin Bakanlar Kurulu'na ait olmasına, Anayasa'nın 9. maddesinde belirtilen yargı yetkisinin bağımsız mahkemelerce kullanılabileceği ilkesine aykırı bulunduğundan, gereğinin takdiri için derdest dava dosyasının onaylı örneği ile birlikte Anayasa'nın 152/1. maddesine göre Anayasa Mahkemesi'ne gönderilmesine,</w:t>
      </w:r>
    </w:p>
    <w:p w:rsidR="00AF1910" w:rsidRPr="00AF1910" w:rsidRDefault="00AF1910" w:rsidP="00AF19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F1910">
        <w:rPr>
          <w:rFonts w:ascii="Times New Roman" w:eastAsia="Times New Roman" w:hAnsi="Times New Roman" w:cs="Times New Roman"/>
          <w:color w:val="000000"/>
          <w:sz w:val="24"/>
          <w:szCs w:val="26"/>
          <w:lang w:eastAsia="tr-TR"/>
        </w:rPr>
        <w:t>Anayasa'nın 152/3. maddesine göre dava sonucunun beklenilmesine karar verildi.'"</w:t>
      </w:r>
    </w:p>
    <w:p w:rsidR="00CE1FB9" w:rsidRPr="00AF1910" w:rsidRDefault="00CE1FB9" w:rsidP="00AF1910">
      <w:pPr>
        <w:spacing w:before="100" w:beforeAutospacing="1" w:after="100" w:afterAutospacing="1" w:line="240" w:lineRule="auto"/>
        <w:ind w:firstLine="709"/>
        <w:jc w:val="both"/>
        <w:rPr>
          <w:rFonts w:ascii="Times New Roman" w:hAnsi="Times New Roman" w:cs="Times New Roman"/>
          <w:sz w:val="24"/>
        </w:rPr>
      </w:pPr>
    </w:p>
    <w:sectPr w:rsidR="00CE1FB9" w:rsidRPr="00AF191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07" w:rsidRDefault="00310807" w:rsidP="00AF1910">
      <w:pPr>
        <w:spacing w:after="0" w:line="240" w:lineRule="auto"/>
      </w:pPr>
      <w:r>
        <w:separator/>
      </w:r>
    </w:p>
  </w:endnote>
  <w:endnote w:type="continuationSeparator" w:id="0">
    <w:p w:rsidR="00310807" w:rsidRDefault="00310807" w:rsidP="00AF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10" w:rsidRDefault="00AF1910" w:rsidP="00E643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1910" w:rsidRDefault="00AF1910" w:rsidP="00AF19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10" w:rsidRPr="00AF1910" w:rsidRDefault="00AF1910" w:rsidP="00E6437D">
    <w:pPr>
      <w:pStyle w:val="Altbilgi"/>
      <w:framePr w:wrap="around" w:vAnchor="text" w:hAnchor="margin" w:xAlign="right" w:y="1"/>
      <w:rPr>
        <w:rStyle w:val="SayfaNumaras"/>
        <w:rFonts w:ascii="Times New Roman" w:hAnsi="Times New Roman" w:cs="Times New Roman"/>
      </w:rPr>
    </w:pPr>
    <w:r w:rsidRPr="00AF1910">
      <w:rPr>
        <w:rStyle w:val="SayfaNumaras"/>
        <w:rFonts w:ascii="Times New Roman" w:hAnsi="Times New Roman" w:cs="Times New Roman"/>
      </w:rPr>
      <w:fldChar w:fldCharType="begin"/>
    </w:r>
    <w:r w:rsidRPr="00AF1910">
      <w:rPr>
        <w:rStyle w:val="SayfaNumaras"/>
        <w:rFonts w:ascii="Times New Roman" w:hAnsi="Times New Roman" w:cs="Times New Roman"/>
      </w:rPr>
      <w:instrText xml:space="preserve">PAGE  </w:instrText>
    </w:r>
    <w:r w:rsidRPr="00AF191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1910">
      <w:rPr>
        <w:rStyle w:val="SayfaNumaras"/>
        <w:rFonts w:ascii="Times New Roman" w:hAnsi="Times New Roman" w:cs="Times New Roman"/>
      </w:rPr>
      <w:fldChar w:fldCharType="end"/>
    </w:r>
  </w:p>
  <w:p w:rsidR="00AF1910" w:rsidRPr="00AF1910" w:rsidRDefault="00AF1910" w:rsidP="00AF191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07" w:rsidRDefault="00310807" w:rsidP="00AF1910">
      <w:pPr>
        <w:spacing w:after="0" w:line="240" w:lineRule="auto"/>
      </w:pPr>
      <w:r>
        <w:separator/>
      </w:r>
    </w:p>
  </w:footnote>
  <w:footnote w:type="continuationSeparator" w:id="0">
    <w:p w:rsidR="00310807" w:rsidRDefault="00310807" w:rsidP="00AF1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10" w:rsidRPr="003575CE" w:rsidRDefault="00AF1910" w:rsidP="00AF19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575CE">
      <w:rPr>
        <w:rFonts w:ascii="Times New Roman" w:eastAsia="Times New Roman" w:hAnsi="Times New Roman" w:cs="Times New Roman"/>
        <w:b/>
        <w:bCs/>
        <w:color w:val="000000"/>
        <w:sz w:val="24"/>
        <w:szCs w:val="26"/>
        <w:lang w:eastAsia="tr-TR"/>
      </w:rPr>
      <w:t>Esas Sayısı       : 2009/25</w:t>
    </w:r>
  </w:p>
  <w:p w:rsidR="00AF1910" w:rsidRPr="003575CE" w:rsidRDefault="00AF1910" w:rsidP="00AF19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575CE">
      <w:rPr>
        <w:rFonts w:ascii="Times New Roman" w:eastAsia="Times New Roman" w:hAnsi="Times New Roman" w:cs="Times New Roman"/>
        <w:b/>
        <w:bCs/>
        <w:color w:val="000000"/>
        <w:sz w:val="24"/>
        <w:szCs w:val="26"/>
        <w:lang w:eastAsia="tr-TR"/>
      </w:rPr>
      <w:t>Karar Sayısı    : 2009/57</w:t>
    </w:r>
  </w:p>
  <w:p w:rsidR="00AF1910" w:rsidRPr="00AF1910" w:rsidRDefault="00AF1910" w:rsidP="00AF19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10"/>
    <w:rsid w:val="00310807"/>
    <w:rsid w:val="00AF191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643E5-069A-4C07-9EB6-DE314391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19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1910"/>
  </w:style>
  <w:style w:type="paragraph" w:styleId="Altbilgi">
    <w:name w:val="footer"/>
    <w:basedOn w:val="Normal"/>
    <w:link w:val="AltbilgiChar"/>
    <w:uiPriority w:val="99"/>
    <w:unhideWhenUsed/>
    <w:rsid w:val="00AF19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1910"/>
  </w:style>
  <w:style w:type="character" w:styleId="SayfaNumaras">
    <w:name w:val="page number"/>
    <w:basedOn w:val="VarsaylanParagrafYazTipi"/>
    <w:uiPriority w:val="99"/>
    <w:semiHidden/>
    <w:unhideWhenUsed/>
    <w:rsid w:val="00AF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6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2019-01-30T11:41:00Z</dcterms:created>
  <dcterms:modified xsi:type="dcterms:W3CDTF">2019-01-30T11:42:00Z</dcterms:modified>
</cp:coreProperties>
</file>