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B21" w:rsidRPr="00560B21" w:rsidRDefault="00560B21" w:rsidP="00560B2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60B21">
        <w:rPr>
          <w:rFonts w:ascii="Times New Roman" w:eastAsia="Times New Roman" w:hAnsi="Times New Roman" w:cs="Times New Roman"/>
          <w:b/>
          <w:bCs/>
          <w:color w:val="000000"/>
          <w:sz w:val="24"/>
          <w:szCs w:val="26"/>
          <w:lang w:eastAsia="tr-TR"/>
        </w:rPr>
        <w:t>"...</w:t>
      </w:r>
    </w:p>
    <w:p w:rsidR="00560B21" w:rsidRPr="00560B21" w:rsidRDefault="00560B21" w:rsidP="00560B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0B21">
        <w:rPr>
          <w:rFonts w:ascii="Times New Roman" w:eastAsia="Times New Roman" w:hAnsi="Times New Roman" w:cs="Times New Roman"/>
          <w:b/>
          <w:bCs/>
          <w:color w:val="000000"/>
          <w:sz w:val="24"/>
          <w:szCs w:val="26"/>
          <w:lang w:eastAsia="tr-TR"/>
        </w:rPr>
        <w:t>II- İTİRAZLARIN GEREK</w:t>
      </w:r>
      <w:bookmarkStart w:id="0" w:name="_GoBack"/>
      <w:bookmarkEnd w:id="0"/>
      <w:r w:rsidRPr="00560B21">
        <w:rPr>
          <w:rFonts w:ascii="Times New Roman" w:eastAsia="Times New Roman" w:hAnsi="Times New Roman" w:cs="Times New Roman"/>
          <w:b/>
          <w:bCs/>
          <w:color w:val="000000"/>
          <w:sz w:val="24"/>
          <w:szCs w:val="26"/>
          <w:lang w:eastAsia="tr-TR"/>
        </w:rPr>
        <w:t>ÇELERİ                  </w:t>
      </w:r>
    </w:p>
    <w:p w:rsidR="00560B21" w:rsidRPr="00560B21" w:rsidRDefault="00560B21" w:rsidP="00560B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0B21">
        <w:rPr>
          <w:rFonts w:ascii="Times New Roman" w:eastAsia="Times New Roman" w:hAnsi="Times New Roman" w:cs="Times New Roman"/>
          <w:color w:val="000000"/>
          <w:sz w:val="24"/>
          <w:szCs w:val="26"/>
          <w:lang w:eastAsia="tr-TR"/>
        </w:rPr>
        <w:t xml:space="preserve">İtiraz yoluna başvuran Mahkemelerin gerekçelerinde özetle, Türk Ceza Kanunu'nun 103. maddesinin  (1) numaralı fıkrası kapsamına giren basit cinsel istismar suçu sonucunda mağdurun beden veya ruh sağlığının bozulması durumunda faile 15 ilâ 20 yıl arasında bir hapis cezası verilirken, Türk Ceza Kanunu'nun 103. maddesinin (2) numaralı fıkrası kapsamına giren mağdurun vücuduna cisim sokulması suretiyle gerçekleştirilen daha ağır bir eylem sonucunda mağdurun beden veya ruh sağlığının bozulmaması durumunda ise faile 8 ilâ 15 yıl arasında hapis cezasının verileceği, ya da her iki eylem sonucunda mağdurun beden veya ruh sağlığının bozulması durumunda faile aynı cezanın verileceği, bu durumun ise suç ve ceza arasında bulunması gereken oranlılık ilkesinin ihlali anlamına geldiği, ayrıca mağdurun ruhsal bütünlüğünün bozulması nedeniyle faile ceza verilmesinin bir eylem nedeniyle iki kez cezalandırılması anlamına geleceği, itiraz konusu kuralda mağdurun beden veya ruh sağlığının bozulmasına neden olan eylemin Türk Ceza Kanunu'nun 103. maddesinin (1) veya (2) numaralı fıkralarının kapsamına girip girmediği konusunda bir ayırım yapılmaksızın her iki eylem sonucunda faile aynı cezanın verileceği, örneğin 103. maddenin (1) numaralı fıkrası kapsamına giren mağdurun eteğinin kaldırılması eylemi ile 103. maddenin (2) numaralı fıkrası kapsamına giren mağdurun vücuduna organ yahut sair cisim sokulması suretiyle işlenen eylem sonucunda mağdurların beden veya ruh sağlıklarının bozulması durumunda her iki fail hakkında 15 ilâ 20 yıl arasında bir ceza verilmesi gerekeceği, farklı hukuksal durumda bulunanlar hakkında aynı cezanın verilecek olmasının eşitlik ilkesine aykırı olduğu, Türk Ceza Kanunu'nun 103. maddesinin (1) numaralı fıkrası  uyarınca cezanın alt sınırdan verilmesi halinde sanığa verilecek üç yıl hapis cezasının, mağdurun beden veya ruh sağlığının bozulması durumunda en az </w:t>
      </w:r>
      <w:proofErr w:type="spellStart"/>
      <w:r w:rsidRPr="00560B21">
        <w:rPr>
          <w:rFonts w:ascii="Times New Roman" w:eastAsia="Times New Roman" w:hAnsi="Times New Roman" w:cs="Times New Roman"/>
          <w:color w:val="000000"/>
          <w:sz w:val="24"/>
          <w:szCs w:val="26"/>
          <w:lang w:eastAsia="tr-TR"/>
        </w:rPr>
        <w:t>onbeş</w:t>
      </w:r>
      <w:proofErr w:type="spellEnd"/>
      <w:r w:rsidRPr="00560B21">
        <w:rPr>
          <w:rFonts w:ascii="Times New Roman" w:eastAsia="Times New Roman" w:hAnsi="Times New Roman" w:cs="Times New Roman"/>
          <w:color w:val="000000"/>
          <w:sz w:val="24"/>
          <w:szCs w:val="26"/>
          <w:lang w:eastAsia="tr-TR"/>
        </w:rPr>
        <w:t xml:space="preserve"> yıl hapis cezasına çıkarılacağı, buna karşılık Türk Ceza Kanunu'nun 103. maddesinin (2) numaralı fıkrası kapsamına giren bir eylem nedeniyle verilecek sekiz yıl hapis cezasının da mağdurun beden veya ruh sağlığının bozulması halinde en az </w:t>
      </w:r>
      <w:proofErr w:type="spellStart"/>
      <w:r w:rsidRPr="00560B21">
        <w:rPr>
          <w:rFonts w:ascii="Times New Roman" w:eastAsia="Times New Roman" w:hAnsi="Times New Roman" w:cs="Times New Roman"/>
          <w:color w:val="000000"/>
          <w:sz w:val="24"/>
          <w:szCs w:val="26"/>
          <w:lang w:eastAsia="tr-TR"/>
        </w:rPr>
        <w:t>onbeş</w:t>
      </w:r>
      <w:proofErr w:type="spellEnd"/>
      <w:r w:rsidRPr="00560B21">
        <w:rPr>
          <w:rFonts w:ascii="Times New Roman" w:eastAsia="Times New Roman" w:hAnsi="Times New Roman" w:cs="Times New Roman"/>
          <w:color w:val="000000"/>
          <w:sz w:val="24"/>
          <w:szCs w:val="26"/>
          <w:lang w:eastAsia="tr-TR"/>
        </w:rPr>
        <w:t xml:space="preserve"> yıl hapis cezasına çıkarılacağı, bu durumun hakkaniyet ilkeleriyle bağdaşmadığı, itiraz konusu kuralda mağdurun beden veya ruh sağlığının bozulması kavramının tanımlanmadığı, ayrıca mağdurun ruh sağlığının hangi aşamada ve ne şekilde bozulduğunun saptanmasının tıbben mümkün olmadığı, ruh sağlığının bozulmasına ilişkin olaydan hemen sonra veya bir müddet geçtikten sonra alınacak raporlar arasında çelişkili durumların ortaya çıkabileceği, aynı gerekçelerin Türk Ceza Kanunu'nun 102. maddesinin (5) numaralı fıkrası için de geçerli olduğu belirtilerek, itiraz konusu kuralların Anayasa'nın 2</w:t>
      </w:r>
      <w:proofErr w:type="gramStart"/>
      <w:r w:rsidRPr="00560B21">
        <w:rPr>
          <w:rFonts w:ascii="Times New Roman" w:eastAsia="Times New Roman" w:hAnsi="Times New Roman" w:cs="Times New Roman"/>
          <w:color w:val="000000"/>
          <w:sz w:val="24"/>
          <w:szCs w:val="26"/>
          <w:lang w:eastAsia="tr-TR"/>
        </w:rPr>
        <w:t>.,</w:t>
      </w:r>
      <w:proofErr w:type="gramEnd"/>
      <w:r w:rsidRPr="00560B21">
        <w:rPr>
          <w:rFonts w:ascii="Times New Roman" w:eastAsia="Times New Roman" w:hAnsi="Times New Roman" w:cs="Times New Roman"/>
          <w:color w:val="000000"/>
          <w:sz w:val="24"/>
          <w:szCs w:val="26"/>
          <w:lang w:eastAsia="tr-TR"/>
        </w:rPr>
        <w:t xml:space="preserve"> 5., 10., 13., 36. ve 38. maddelerine aykırı olduğu ileri sürülmüştür."</w:t>
      </w:r>
    </w:p>
    <w:p w:rsidR="00CE1FB9" w:rsidRPr="00560B21" w:rsidRDefault="00CE1FB9" w:rsidP="00560B21">
      <w:pPr>
        <w:spacing w:before="100" w:beforeAutospacing="1" w:after="100" w:afterAutospacing="1" w:line="240" w:lineRule="auto"/>
        <w:ind w:firstLine="709"/>
        <w:jc w:val="both"/>
        <w:rPr>
          <w:rFonts w:ascii="Times New Roman" w:hAnsi="Times New Roman" w:cs="Times New Roman"/>
          <w:sz w:val="24"/>
        </w:rPr>
      </w:pPr>
    </w:p>
    <w:sectPr w:rsidR="00CE1FB9" w:rsidRPr="00560B2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AA7" w:rsidRDefault="00E43AA7" w:rsidP="00560B21">
      <w:pPr>
        <w:spacing w:after="0" w:line="240" w:lineRule="auto"/>
      </w:pPr>
      <w:r>
        <w:separator/>
      </w:r>
    </w:p>
  </w:endnote>
  <w:endnote w:type="continuationSeparator" w:id="0">
    <w:p w:rsidR="00E43AA7" w:rsidRDefault="00E43AA7" w:rsidP="0056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B21" w:rsidRDefault="00560B21" w:rsidP="0030207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60B21" w:rsidRDefault="00560B21" w:rsidP="00560B2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B21" w:rsidRPr="00560B21" w:rsidRDefault="00560B21" w:rsidP="00302078">
    <w:pPr>
      <w:pStyle w:val="Altbilgi"/>
      <w:framePr w:wrap="around" w:vAnchor="text" w:hAnchor="margin" w:xAlign="right" w:y="1"/>
      <w:rPr>
        <w:rStyle w:val="SayfaNumaras"/>
        <w:rFonts w:ascii="Times New Roman" w:hAnsi="Times New Roman" w:cs="Times New Roman"/>
      </w:rPr>
    </w:pPr>
    <w:r w:rsidRPr="00560B21">
      <w:rPr>
        <w:rStyle w:val="SayfaNumaras"/>
        <w:rFonts w:ascii="Times New Roman" w:hAnsi="Times New Roman" w:cs="Times New Roman"/>
      </w:rPr>
      <w:fldChar w:fldCharType="begin"/>
    </w:r>
    <w:r w:rsidRPr="00560B21">
      <w:rPr>
        <w:rStyle w:val="SayfaNumaras"/>
        <w:rFonts w:ascii="Times New Roman" w:hAnsi="Times New Roman" w:cs="Times New Roman"/>
      </w:rPr>
      <w:instrText xml:space="preserve">PAGE  </w:instrText>
    </w:r>
    <w:r w:rsidRPr="00560B2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60B21">
      <w:rPr>
        <w:rStyle w:val="SayfaNumaras"/>
        <w:rFonts w:ascii="Times New Roman" w:hAnsi="Times New Roman" w:cs="Times New Roman"/>
      </w:rPr>
      <w:fldChar w:fldCharType="end"/>
    </w:r>
  </w:p>
  <w:p w:rsidR="00560B21" w:rsidRPr="00560B21" w:rsidRDefault="00560B21" w:rsidP="00560B2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AA7" w:rsidRDefault="00E43AA7" w:rsidP="00560B21">
      <w:pPr>
        <w:spacing w:after="0" w:line="240" w:lineRule="auto"/>
      </w:pPr>
      <w:r>
        <w:separator/>
      </w:r>
    </w:p>
  </w:footnote>
  <w:footnote w:type="continuationSeparator" w:id="0">
    <w:p w:rsidR="00E43AA7" w:rsidRDefault="00E43AA7" w:rsidP="00560B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B21" w:rsidRPr="004A0570" w:rsidRDefault="00560B21" w:rsidP="00560B21">
    <w:pPr>
      <w:spacing w:after="0" w:line="240" w:lineRule="auto"/>
      <w:jc w:val="both"/>
      <w:rPr>
        <w:rFonts w:ascii="Times New Roman" w:eastAsia="Times New Roman" w:hAnsi="Times New Roman" w:cs="Times New Roman"/>
        <w:b/>
        <w:color w:val="000000"/>
        <w:sz w:val="24"/>
        <w:szCs w:val="24"/>
        <w:lang w:eastAsia="tr-TR"/>
      </w:rPr>
    </w:pPr>
    <w:r w:rsidRPr="004A0570">
      <w:rPr>
        <w:rFonts w:ascii="Times New Roman" w:eastAsia="Times New Roman" w:hAnsi="Times New Roman" w:cs="Times New Roman"/>
        <w:b/>
        <w:bCs/>
        <w:color w:val="000000"/>
        <w:sz w:val="24"/>
        <w:szCs w:val="26"/>
        <w:lang w:eastAsia="tr-TR"/>
      </w:rPr>
      <w:t xml:space="preserve">Esas </w:t>
    </w:r>
    <w:proofErr w:type="gramStart"/>
    <w:r w:rsidRPr="004A0570">
      <w:rPr>
        <w:rFonts w:ascii="Times New Roman" w:eastAsia="Times New Roman" w:hAnsi="Times New Roman" w:cs="Times New Roman"/>
        <w:b/>
        <w:bCs/>
        <w:color w:val="000000"/>
        <w:sz w:val="24"/>
        <w:szCs w:val="26"/>
        <w:lang w:eastAsia="tr-TR"/>
      </w:rPr>
      <w:t>Sayısı : 2007</w:t>
    </w:r>
    <w:proofErr w:type="gramEnd"/>
    <w:r w:rsidRPr="004A0570">
      <w:rPr>
        <w:rFonts w:ascii="Times New Roman" w:eastAsia="Times New Roman" w:hAnsi="Times New Roman" w:cs="Times New Roman"/>
        <w:b/>
        <w:bCs/>
        <w:color w:val="000000"/>
        <w:sz w:val="24"/>
        <w:szCs w:val="26"/>
        <w:lang w:eastAsia="tr-TR"/>
      </w:rPr>
      <w:t>/96</w:t>
    </w:r>
  </w:p>
  <w:p w:rsidR="00560B21" w:rsidRPr="004A0570" w:rsidRDefault="00560B21" w:rsidP="00560B21">
    <w:pPr>
      <w:spacing w:after="0" w:line="240" w:lineRule="auto"/>
      <w:jc w:val="both"/>
      <w:rPr>
        <w:rFonts w:ascii="Times New Roman" w:eastAsia="Times New Roman" w:hAnsi="Times New Roman" w:cs="Times New Roman"/>
        <w:b/>
        <w:color w:val="000000"/>
        <w:sz w:val="24"/>
        <w:szCs w:val="24"/>
        <w:lang w:eastAsia="tr-TR"/>
      </w:rPr>
    </w:pPr>
    <w:r w:rsidRPr="004A0570">
      <w:rPr>
        <w:rFonts w:ascii="Times New Roman" w:eastAsia="Times New Roman" w:hAnsi="Times New Roman" w:cs="Times New Roman"/>
        <w:b/>
        <w:bCs/>
        <w:color w:val="000000"/>
        <w:sz w:val="24"/>
        <w:szCs w:val="26"/>
        <w:lang w:eastAsia="tr-TR"/>
      </w:rPr>
      <w:t xml:space="preserve">Karar </w:t>
    </w:r>
    <w:proofErr w:type="gramStart"/>
    <w:r w:rsidRPr="004A0570">
      <w:rPr>
        <w:rFonts w:ascii="Times New Roman" w:eastAsia="Times New Roman" w:hAnsi="Times New Roman" w:cs="Times New Roman"/>
        <w:b/>
        <w:bCs/>
        <w:color w:val="000000"/>
        <w:sz w:val="24"/>
        <w:szCs w:val="26"/>
        <w:lang w:eastAsia="tr-TR"/>
      </w:rPr>
      <w:t>Sayısı : 2009</w:t>
    </w:r>
    <w:proofErr w:type="gramEnd"/>
    <w:r w:rsidRPr="004A0570">
      <w:rPr>
        <w:rFonts w:ascii="Times New Roman" w:eastAsia="Times New Roman" w:hAnsi="Times New Roman" w:cs="Times New Roman"/>
        <w:b/>
        <w:bCs/>
        <w:color w:val="000000"/>
        <w:sz w:val="24"/>
        <w:szCs w:val="26"/>
        <w:lang w:eastAsia="tr-TR"/>
      </w:rPr>
      <w:t>/34</w:t>
    </w:r>
  </w:p>
  <w:p w:rsidR="00560B21" w:rsidRPr="00560B21" w:rsidRDefault="00560B21" w:rsidP="00560B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21"/>
    <w:rsid w:val="00560B21"/>
    <w:rsid w:val="00CE1FB9"/>
    <w:rsid w:val="00E43A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FF3CE-DE2F-4D81-8FCA-20A1BE85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0B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0B21"/>
  </w:style>
  <w:style w:type="paragraph" w:styleId="Altbilgi">
    <w:name w:val="footer"/>
    <w:basedOn w:val="Normal"/>
    <w:link w:val="AltbilgiChar"/>
    <w:uiPriority w:val="99"/>
    <w:unhideWhenUsed/>
    <w:rsid w:val="00560B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0B21"/>
  </w:style>
  <w:style w:type="character" w:styleId="SayfaNumaras">
    <w:name w:val="page number"/>
    <w:basedOn w:val="VarsaylanParagrafYazTipi"/>
    <w:uiPriority w:val="99"/>
    <w:semiHidden/>
    <w:unhideWhenUsed/>
    <w:rsid w:val="00560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57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2019-01-30T07:23:00Z</dcterms:created>
  <dcterms:modified xsi:type="dcterms:W3CDTF">2019-01-30T07:24:00Z</dcterms:modified>
</cp:coreProperties>
</file>