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05D" w:rsidRPr="00FD205D" w:rsidRDefault="00FD205D" w:rsidP="00FD205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D205D">
        <w:rPr>
          <w:rFonts w:ascii="Times New Roman" w:eastAsia="Times New Roman" w:hAnsi="Times New Roman" w:cs="Times New Roman"/>
          <w:b/>
          <w:bCs/>
          <w:color w:val="000000"/>
          <w:sz w:val="24"/>
          <w:szCs w:val="26"/>
          <w:lang w:eastAsia="tr-TR"/>
        </w:rPr>
        <w:t>"...</w:t>
      </w:r>
    </w:p>
    <w:p w:rsidR="00FD205D" w:rsidRDefault="00FD205D" w:rsidP="00FD20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05D">
        <w:rPr>
          <w:rFonts w:ascii="Times New Roman" w:eastAsia="Times New Roman" w:hAnsi="Times New Roman" w:cs="Times New Roman"/>
          <w:b/>
          <w:bCs/>
          <w:color w:val="000000"/>
          <w:sz w:val="24"/>
          <w:szCs w:val="26"/>
          <w:lang w:eastAsia="tr-TR"/>
        </w:rPr>
        <w:t>II- İTİRAZIN GEREKÇESİ</w:t>
      </w:r>
    </w:p>
    <w:p w:rsidR="00FD205D" w:rsidRDefault="00FD205D" w:rsidP="00FD20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FD205D">
        <w:rPr>
          <w:rFonts w:ascii="Times New Roman" w:eastAsia="Times New Roman" w:hAnsi="Times New Roman" w:cs="Times New Roman"/>
          <w:color w:val="000000"/>
          <w:sz w:val="24"/>
          <w:szCs w:val="26"/>
          <w:lang w:eastAsia="tr-TR"/>
        </w:rPr>
        <w:t>İtiraz yoluna başvuran mahkeme, başvuru kararında şu gerekçelere yer vermiştir:</w:t>
      </w:r>
    </w:p>
    <w:p w:rsidR="00FD205D" w:rsidRDefault="00FD205D" w:rsidP="00FD20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05D">
        <w:rPr>
          <w:rFonts w:ascii="Times New Roman" w:eastAsia="Times New Roman" w:hAnsi="Times New Roman" w:cs="Times New Roman"/>
          <w:color w:val="000000"/>
          <w:sz w:val="24"/>
          <w:szCs w:val="26"/>
          <w:lang w:eastAsia="tr-TR"/>
        </w:rPr>
        <w:t xml:space="preserve">"Cezanın caydırıcılığı ve suçlunun topluma uyum sağlayabilmesi, ceza politikasının temel ilkelerinden birini oluşturmaktadır. Bu politikaya etken olacak </w:t>
      </w:r>
      <w:proofErr w:type="gramStart"/>
      <w:r w:rsidRPr="00FD205D">
        <w:rPr>
          <w:rFonts w:ascii="Times New Roman" w:eastAsia="Times New Roman" w:hAnsi="Times New Roman" w:cs="Times New Roman"/>
          <w:color w:val="000000"/>
          <w:sz w:val="24"/>
          <w:szCs w:val="26"/>
          <w:lang w:eastAsia="tr-TR"/>
        </w:rPr>
        <w:t>kriterler</w:t>
      </w:r>
      <w:proofErr w:type="gramEnd"/>
      <w:r w:rsidRPr="00FD205D">
        <w:rPr>
          <w:rFonts w:ascii="Times New Roman" w:eastAsia="Times New Roman" w:hAnsi="Times New Roman" w:cs="Times New Roman"/>
          <w:color w:val="000000"/>
          <w:sz w:val="24"/>
          <w:szCs w:val="26"/>
          <w:lang w:eastAsia="tr-TR"/>
        </w:rPr>
        <w:t xml:space="preserve"> ise toplumun suça verdiği önem ve suçun ağırlığı ile yakından ilgilidir. Suç işleyen kişi hakkında işlenen fiilin ağırlığı ile orantılı olarak ceza ve güvenlik tedbirine hükmolunmalıdır. Ceza ve güvenlik tedbirlerinin işlenen suçun ağırlığı ile orantılı olmadığı durumlarda kişi hak ve özgürlüklerinin ihlal edildiği, kamu düzeninin bozulduğu, toplum barışının ortadan kalktığı ve herkesin kendi hakkını kendisinin aldığı ortamlar doğurur ve devletin anayasal görevi de bu tür olumsuzluklara sebebiyet verecek faktörleri ortadan kaldırmaktır. Devletin bu yöndeki görevleri Anayasa'nın 2. maddesinde sayılan hukuk devleti olmasının gereğidir. Bütün bu ilkeler ceza kanununun temel amacı olup dayanağını Anayasadan almaktadır. Yaşama, maddi ve manevi varlığını koruma ve geliştirme Anayasa'nın 17. maddesinde teminat altına alınmıştır. Yine Avrupa insan hakları sözleşmesinin 2. maddesinde herkesin hayat hakkı yasanın koruması altındadır. Bu bağlamda devlet caydırıcı etkiye sahip etkili ceza hükümlerine yer vermek zorundadır. </w:t>
      </w:r>
      <w:proofErr w:type="gramStart"/>
      <w:r w:rsidRPr="00FD205D">
        <w:rPr>
          <w:rFonts w:ascii="Times New Roman" w:eastAsia="Times New Roman" w:hAnsi="Times New Roman" w:cs="Times New Roman"/>
          <w:color w:val="000000"/>
          <w:sz w:val="24"/>
          <w:szCs w:val="26"/>
          <w:lang w:eastAsia="tr-TR"/>
        </w:rPr>
        <w:t>5237 sayılı kanunda adam öldürme suçları ile ilgili 81. maddede öngörülen müebbet hapis cezasından, yine aynı kanunun 29. maddesinde düzenlenen tahrik sebebiyle yapılan indirimler fahiş olduğu, 29. maddede düzenlenen indirim oranlarının, gerek kanunun bütünlüğü içinde verilen cezanın caydırıcılığı, gerekse yasa koyucunun amacı ile uyuşmadığı dolayısıyla Anayasanın 2 ve 17. maddelerine doğrudan aykırı olduğu kanaatindeyiz.(...)</w:t>
      </w:r>
      <w:proofErr w:type="gramEnd"/>
    </w:p>
    <w:p w:rsidR="00FD205D" w:rsidRPr="00FD205D" w:rsidRDefault="00FD205D" w:rsidP="00FD20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05D">
        <w:rPr>
          <w:rFonts w:ascii="Times New Roman" w:eastAsia="Times New Roman" w:hAnsi="Times New Roman" w:cs="Times New Roman"/>
          <w:color w:val="000000"/>
          <w:sz w:val="24"/>
          <w:szCs w:val="26"/>
          <w:lang w:eastAsia="tr-TR"/>
        </w:rPr>
        <w:t xml:space="preserve">Tahrikin çok hafif kaldığı durumlarda dahi ceza müebbet hapis cezasından 18 yıla düşmektedir. Oysa tahrik olmayan durumlarda ceza müebbet hapis cezasında kalmaktadır. İnfaz yasası açısından müebbet hapis cezasında şartlı tahliye için geçmesi gereken süre 24 yıl iken hafif tahrik durumunda 18 yıl ceza verildiği takdirde şartlı tahliye 12 yılda tamamlanmaktadır ki hafif bir tahrikin cezalarda bu kadar fahiş derecede indirim meydana getirmesi hakkaniyete uygun değildir. (...). 5237 sayılı Kanunu'nun tahrik hükümlerini düzenleyen 29. maddesinin Anayasa'nın başlangıç hükümlerinden ikinci maddesine (hukuk </w:t>
      </w:r>
      <w:proofErr w:type="gramStart"/>
      <w:r w:rsidRPr="00FD205D">
        <w:rPr>
          <w:rFonts w:ascii="Times New Roman" w:eastAsia="Times New Roman" w:hAnsi="Times New Roman" w:cs="Times New Roman"/>
          <w:color w:val="000000"/>
          <w:sz w:val="24"/>
          <w:szCs w:val="26"/>
          <w:lang w:eastAsia="tr-TR"/>
        </w:rPr>
        <w:t>devleti</w:t>
      </w:r>
      <w:proofErr w:type="gramEnd"/>
      <w:r w:rsidRPr="00FD205D">
        <w:rPr>
          <w:rFonts w:ascii="Times New Roman" w:eastAsia="Times New Roman" w:hAnsi="Times New Roman" w:cs="Times New Roman"/>
          <w:color w:val="000000"/>
          <w:sz w:val="24"/>
          <w:szCs w:val="26"/>
          <w:lang w:eastAsia="tr-TR"/>
        </w:rPr>
        <w:t>) "herkes kişiliğine bağlı, dokunulmaz, devredilmez, vazgeçilmez temel hak ve hürriyetlere sahiptir" hükmünü içeren 12/1. maddesine, "herkes yaşama, maddi ve manevi varlığını koruma ve geliştirme hakkına sahiptir" hükmünü içeren 17/1. maddesine, "herkes kişi hürriyeti ve güvenliğine sahiptir" hükmünü içeren 19/1. maddesine aykırı olduğu fikriyle açıklanan sebeplerden dolayı, iptali istenen maddenin bir yasa hükmü olarak Anayasa'nın ruhuna da aykırı olduğu kanaatine varılmıştır.""</w:t>
      </w:r>
    </w:p>
    <w:p w:rsidR="00CE1FB9" w:rsidRPr="00FD205D" w:rsidRDefault="00CE1FB9" w:rsidP="00FD205D">
      <w:pPr>
        <w:spacing w:before="100" w:beforeAutospacing="1" w:after="100" w:afterAutospacing="1" w:line="240" w:lineRule="auto"/>
        <w:ind w:firstLine="709"/>
        <w:jc w:val="both"/>
        <w:rPr>
          <w:rFonts w:ascii="Times New Roman" w:hAnsi="Times New Roman" w:cs="Times New Roman"/>
          <w:sz w:val="24"/>
        </w:rPr>
      </w:pPr>
    </w:p>
    <w:sectPr w:rsidR="00CE1FB9" w:rsidRPr="00FD205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FFF" w:rsidRDefault="00EA5FFF" w:rsidP="00FD205D">
      <w:pPr>
        <w:spacing w:after="0" w:line="240" w:lineRule="auto"/>
      </w:pPr>
      <w:r>
        <w:separator/>
      </w:r>
    </w:p>
  </w:endnote>
  <w:endnote w:type="continuationSeparator" w:id="0">
    <w:p w:rsidR="00EA5FFF" w:rsidRDefault="00EA5FFF" w:rsidP="00FD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05D" w:rsidRDefault="00FD205D" w:rsidP="0020513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205D" w:rsidRDefault="00FD205D" w:rsidP="00FD205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05D" w:rsidRPr="00FD205D" w:rsidRDefault="00FD205D" w:rsidP="00205137">
    <w:pPr>
      <w:pStyle w:val="Altbilgi"/>
      <w:framePr w:wrap="around" w:vAnchor="text" w:hAnchor="margin" w:xAlign="right" w:y="1"/>
      <w:rPr>
        <w:rStyle w:val="SayfaNumaras"/>
        <w:rFonts w:ascii="Times New Roman" w:hAnsi="Times New Roman" w:cs="Times New Roman"/>
      </w:rPr>
    </w:pPr>
    <w:r w:rsidRPr="00FD205D">
      <w:rPr>
        <w:rStyle w:val="SayfaNumaras"/>
        <w:rFonts w:ascii="Times New Roman" w:hAnsi="Times New Roman" w:cs="Times New Roman"/>
      </w:rPr>
      <w:fldChar w:fldCharType="begin"/>
    </w:r>
    <w:r w:rsidRPr="00FD205D">
      <w:rPr>
        <w:rStyle w:val="SayfaNumaras"/>
        <w:rFonts w:ascii="Times New Roman" w:hAnsi="Times New Roman" w:cs="Times New Roman"/>
      </w:rPr>
      <w:instrText xml:space="preserve">PAGE  </w:instrText>
    </w:r>
    <w:r w:rsidRPr="00FD205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D205D">
      <w:rPr>
        <w:rStyle w:val="SayfaNumaras"/>
        <w:rFonts w:ascii="Times New Roman" w:hAnsi="Times New Roman" w:cs="Times New Roman"/>
      </w:rPr>
      <w:fldChar w:fldCharType="end"/>
    </w:r>
  </w:p>
  <w:p w:rsidR="00FD205D" w:rsidRPr="00FD205D" w:rsidRDefault="00FD205D" w:rsidP="00FD205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FFF" w:rsidRDefault="00EA5FFF" w:rsidP="00FD205D">
      <w:pPr>
        <w:spacing w:after="0" w:line="240" w:lineRule="auto"/>
      </w:pPr>
      <w:r>
        <w:separator/>
      </w:r>
    </w:p>
  </w:footnote>
  <w:footnote w:type="continuationSeparator" w:id="0">
    <w:p w:rsidR="00EA5FFF" w:rsidRDefault="00EA5FFF" w:rsidP="00FD2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05D" w:rsidRPr="009C56CD" w:rsidRDefault="00FD205D" w:rsidP="00FD205D">
    <w:pPr>
      <w:spacing w:after="0" w:line="240" w:lineRule="auto"/>
      <w:jc w:val="both"/>
      <w:rPr>
        <w:rFonts w:ascii="Times New Roman" w:eastAsia="Times New Roman" w:hAnsi="Times New Roman" w:cs="Times New Roman"/>
        <w:b/>
        <w:color w:val="000000"/>
        <w:sz w:val="24"/>
        <w:szCs w:val="24"/>
        <w:lang w:eastAsia="tr-TR"/>
      </w:rPr>
    </w:pPr>
    <w:r w:rsidRPr="009C56CD">
      <w:rPr>
        <w:rFonts w:ascii="Times New Roman" w:eastAsia="Times New Roman" w:hAnsi="Times New Roman" w:cs="Times New Roman"/>
        <w:b/>
        <w:bCs/>
        <w:color w:val="000000"/>
        <w:sz w:val="24"/>
        <w:szCs w:val="26"/>
        <w:lang w:eastAsia="tr-TR"/>
      </w:rPr>
      <w:t xml:space="preserve">Esas </w:t>
    </w:r>
    <w:proofErr w:type="gramStart"/>
    <w:r w:rsidRPr="009C56CD">
      <w:rPr>
        <w:rFonts w:ascii="Times New Roman" w:eastAsia="Times New Roman" w:hAnsi="Times New Roman" w:cs="Times New Roman"/>
        <w:b/>
        <w:bCs/>
        <w:color w:val="000000"/>
        <w:sz w:val="24"/>
        <w:szCs w:val="26"/>
        <w:lang w:eastAsia="tr-TR"/>
      </w:rPr>
      <w:t>Sayısı   : 2007</w:t>
    </w:r>
    <w:proofErr w:type="gramEnd"/>
    <w:r w:rsidRPr="009C56CD">
      <w:rPr>
        <w:rFonts w:ascii="Times New Roman" w:eastAsia="Times New Roman" w:hAnsi="Times New Roman" w:cs="Times New Roman"/>
        <w:b/>
        <w:bCs/>
        <w:color w:val="000000"/>
        <w:sz w:val="24"/>
        <w:szCs w:val="26"/>
        <w:lang w:eastAsia="tr-TR"/>
      </w:rPr>
      <w:t>/91</w:t>
    </w:r>
  </w:p>
  <w:p w:rsidR="00FD205D" w:rsidRPr="009C56CD" w:rsidRDefault="00FD205D" w:rsidP="00FD205D">
    <w:pPr>
      <w:spacing w:after="0" w:line="240" w:lineRule="auto"/>
      <w:jc w:val="both"/>
      <w:rPr>
        <w:rFonts w:ascii="Times New Roman" w:eastAsia="Times New Roman" w:hAnsi="Times New Roman" w:cs="Times New Roman"/>
        <w:b/>
        <w:color w:val="000000"/>
        <w:sz w:val="24"/>
        <w:szCs w:val="24"/>
        <w:lang w:eastAsia="tr-TR"/>
      </w:rPr>
    </w:pPr>
    <w:r w:rsidRPr="009C56CD">
      <w:rPr>
        <w:rFonts w:ascii="Times New Roman" w:eastAsia="Times New Roman" w:hAnsi="Times New Roman" w:cs="Times New Roman"/>
        <w:b/>
        <w:bCs/>
        <w:color w:val="000000"/>
        <w:sz w:val="24"/>
        <w:szCs w:val="26"/>
        <w:lang w:eastAsia="tr-TR"/>
      </w:rPr>
      <w:t xml:space="preserve">Karar </w:t>
    </w:r>
    <w:proofErr w:type="gramStart"/>
    <w:r w:rsidRPr="009C56CD">
      <w:rPr>
        <w:rFonts w:ascii="Times New Roman" w:eastAsia="Times New Roman" w:hAnsi="Times New Roman" w:cs="Times New Roman"/>
        <w:b/>
        <w:bCs/>
        <w:color w:val="000000"/>
        <w:sz w:val="24"/>
        <w:szCs w:val="26"/>
        <w:lang w:eastAsia="tr-TR"/>
      </w:rPr>
      <w:t>Sayısı : 2009</w:t>
    </w:r>
    <w:proofErr w:type="gramEnd"/>
    <w:r w:rsidRPr="009C56CD">
      <w:rPr>
        <w:rFonts w:ascii="Times New Roman" w:eastAsia="Times New Roman" w:hAnsi="Times New Roman" w:cs="Times New Roman"/>
        <w:b/>
        <w:bCs/>
        <w:color w:val="000000"/>
        <w:sz w:val="24"/>
        <w:szCs w:val="26"/>
        <w:lang w:eastAsia="tr-TR"/>
      </w:rPr>
      <w:t>/25</w:t>
    </w:r>
  </w:p>
  <w:p w:rsidR="00FD205D" w:rsidRPr="00FD205D" w:rsidRDefault="00FD205D" w:rsidP="00FD205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5D"/>
    <w:rsid w:val="00CE1FB9"/>
    <w:rsid w:val="00EA5FFF"/>
    <w:rsid w:val="00FD20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F9894-3072-43B0-8E50-5F99F82E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D20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205D"/>
  </w:style>
  <w:style w:type="paragraph" w:styleId="Altbilgi">
    <w:name w:val="footer"/>
    <w:basedOn w:val="Normal"/>
    <w:link w:val="AltbilgiChar"/>
    <w:uiPriority w:val="99"/>
    <w:unhideWhenUsed/>
    <w:rsid w:val="00FD20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205D"/>
  </w:style>
  <w:style w:type="character" w:styleId="SayfaNumaras">
    <w:name w:val="page number"/>
    <w:basedOn w:val="VarsaylanParagrafYazTipi"/>
    <w:uiPriority w:val="99"/>
    <w:semiHidden/>
    <w:unhideWhenUsed/>
    <w:rsid w:val="00FD2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96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2019-01-30T06:21:00Z</dcterms:created>
  <dcterms:modified xsi:type="dcterms:W3CDTF">2019-01-30T06:22:00Z</dcterms:modified>
</cp:coreProperties>
</file>