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79C" w:rsidRP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F379C">
        <w:rPr>
          <w:rFonts w:ascii="Times New Roman" w:eastAsia="Times New Roman" w:hAnsi="Times New Roman" w:cs="Times New Roman"/>
          <w:b/>
          <w:bCs/>
          <w:color w:val="000000"/>
          <w:sz w:val="24"/>
          <w:szCs w:val="26"/>
          <w:lang w:eastAsia="tr-TR"/>
        </w:rPr>
        <w:t>"...</w:t>
      </w:r>
    </w:p>
    <w:p w:rsidR="00DF379C" w:rsidRP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379C">
        <w:rPr>
          <w:rFonts w:ascii="Times New Roman" w:eastAsia="Times New Roman" w:hAnsi="Times New Roman" w:cs="Times New Roman"/>
          <w:b/>
          <w:bCs/>
          <w:color w:val="000000"/>
          <w:sz w:val="24"/>
          <w:szCs w:val="26"/>
          <w:lang w:eastAsia="tr-TR"/>
        </w:rPr>
        <w:t>II- İTİRAZIN GEREKÇESİ</w:t>
      </w:r>
      <w:r w:rsidRPr="00DF379C">
        <w:rPr>
          <w:rFonts w:ascii="Times New Roman" w:eastAsia="Times New Roman" w:hAnsi="Times New Roman" w:cs="Times New Roman"/>
          <w:color w:val="000000"/>
          <w:sz w:val="24"/>
          <w:szCs w:val="24"/>
          <w:lang w:eastAsia="tr-TR"/>
        </w:rPr>
        <w:t> </w:t>
      </w:r>
    </w:p>
    <w:p w:rsidR="00DF379C" w:rsidRP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379C">
        <w:rPr>
          <w:rFonts w:ascii="Times New Roman" w:eastAsia="Times New Roman" w:hAnsi="Times New Roman" w:cs="Times New Roman"/>
          <w:color w:val="000000"/>
          <w:sz w:val="24"/>
          <w:szCs w:val="26"/>
          <w:lang w:eastAsia="tr-TR"/>
        </w:rPr>
        <w:t>Başvuru kararının gerekçe bölümü şöyledi</w:t>
      </w:r>
      <w:bookmarkStart w:id="0" w:name="_GoBack"/>
      <w:bookmarkEnd w:id="0"/>
      <w:r w:rsidRPr="00DF379C">
        <w:rPr>
          <w:rFonts w:ascii="Times New Roman" w:eastAsia="Times New Roman" w:hAnsi="Times New Roman" w:cs="Times New Roman"/>
          <w:color w:val="000000"/>
          <w:sz w:val="24"/>
          <w:szCs w:val="26"/>
          <w:lang w:eastAsia="tr-TR"/>
        </w:rPr>
        <w:t>r:</w:t>
      </w:r>
      <w:r w:rsidRPr="00DF379C">
        <w:rPr>
          <w:rFonts w:ascii="Times New Roman" w:eastAsia="Times New Roman" w:hAnsi="Times New Roman" w:cs="Times New Roman"/>
          <w:color w:val="000000"/>
          <w:sz w:val="24"/>
          <w:szCs w:val="24"/>
          <w:lang w:eastAsia="tr-TR"/>
        </w:rPr>
        <w:t> </w:t>
      </w:r>
    </w:p>
    <w:p w:rsidR="00DF379C" w:rsidRP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379C">
        <w:rPr>
          <w:rFonts w:ascii="Times New Roman" w:eastAsia="Times New Roman" w:hAnsi="Times New Roman" w:cs="Times New Roman"/>
          <w:color w:val="000000"/>
          <w:spacing w:val="3"/>
          <w:sz w:val="24"/>
          <w:szCs w:val="26"/>
          <w:lang w:eastAsia="tr-TR"/>
        </w:rPr>
        <w:t>'Anayasamızın X. Bölüm Başlığı 'Kanun önünde eşitlik' olup, 10. maddesinde 'Herkes dil, ırk, renk, cinsiyet, siyasi düşünce, felsefi inanç, din, mezhep ve benzeri sebeplerle ayrım gözetmeksizin kanun önünde eşit sayılır</w:t>
      </w:r>
      <w:r w:rsidRPr="00DF379C">
        <w:rPr>
          <w:rFonts w:ascii="Times New Roman" w:eastAsia="Times New Roman" w:hAnsi="Times New Roman" w:cs="Times New Roman"/>
          <w:color w:val="000000"/>
          <w:sz w:val="24"/>
          <w:szCs w:val="26"/>
          <w:lang w:eastAsia="tr-TR"/>
        </w:rPr>
        <w:t>' hükmünü getirmiştir.</w:t>
      </w:r>
      <w:r w:rsidRPr="00DF379C">
        <w:rPr>
          <w:rFonts w:ascii="Times New Roman" w:eastAsia="Times New Roman" w:hAnsi="Times New Roman" w:cs="Times New Roman"/>
          <w:color w:val="000000"/>
          <w:sz w:val="24"/>
          <w:szCs w:val="24"/>
          <w:lang w:eastAsia="tr-TR"/>
        </w:rPr>
        <w:t> </w:t>
      </w:r>
    </w:p>
    <w:p w:rsidR="00DF379C" w:rsidRP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379C">
        <w:rPr>
          <w:rFonts w:ascii="Times New Roman" w:eastAsia="Times New Roman" w:hAnsi="Times New Roman" w:cs="Times New Roman"/>
          <w:color w:val="000000"/>
          <w:sz w:val="24"/>
          <w:szCs w:val="26"/>
          <w:lang w:eastAsia="tr-TR"/>
        </w:rPr>
        <w:t xml:space="preserve">03.07.2005 tarihinde yürürlüğe giren 5395 sayılı 'ÇOCUK KORUMA </w:t>
      </w:r>
      <w:proofErr w:type="spellStart"/>
      <w:r w:rsidRPr="00DF379C">
        <w:rPr>
          <w:rFonts w:ascii="Times New Roman" w:eastAsia="Times New Roman" w:hAnsi="Times New Roman" w:cs="Times New Roman"/>
          <w:color w:val="000000"/>
          <w:sz w:val="24"/>
          <w:szCs w:val="26"/>
          <w:lang w:eastAsia="tr-TR"/>
        </w:rPr>
        <w:t>KANUNU'nun</w:t>
      </w:r>
      <w:proofErr w:type="spellEnd"/>
      <w:r w:rsidRPr="00DF379C">
        <w:rPr>
          <w:rFonts w:ascii="Times New Roman" w:eastAsia="Times New Roman" w:hAnsi="Times New Roman" w:cs="Times New Roman"/>
          <w:color w:val="000000"/>
          <w:sz w:val="24"/>
          <w:szCs w:val="26"/>
          <w:lang w:eastAsia="tr-TR"/>
        </w:rPr>
        <w:t xml:space="preserve"> 3/1. maddesi ve 5237 sayılı TCK. 6/1-b maddesi 18 yaşını doldurmamış kişileri ÇOCUK olarak kabul ve tarif etmiştir. Yine 5395 S.K. da çocukların yargılanmaları, hükümlerin açıklanması, cezaların sonuçları, topluma kazandırılması açısından çok önemli ve yeni hükümler getirmiştir. Ayrıca çocukların hassas durumları nazara alınarak, yargılanmaları konusunda özel şartlar aranan </w:t>
      </w:r>
      <w:proofErr w:type="gramStart"/>
      <w:r w:rsidRPr="00DF379C">
        <w:rPr>
          <w:rFonts w:ascii="Times New Roman" w:eastAsia="Times New Roman" w:hAnsi="Times New Roman" w:cs="Times New Roman"/>
          <w:color w:val="000000"/>
          <w:sz w:val="24"/>
          <w:szCs w:val="26"/>
          <w:lang w:eastAsia="tr-TR"/>
        </w:rPr>
        <w:t>hakimlerden</w:t>
      </w:r>
      <w:proofErr w:type="gramEnd"/>
      <w:r w:rsidRPr="00DF379C">
        <w:rPr>
          <w:rFonts w:ascii="Times New Roman" w:eastAsia="Times New Roman" w:hAnsi="Times New Roman" w:cs="Times New Roman"/>
          <w:color w:val="000000"/>
          <w:sz w:val="24"/>
          <w:szCs w:val="26"/>
          <w:lang w:eastAsia="tr-TR"/>
        </w:rPr>
        <w:t xml:space="preserve"> oluşan, ihtisas mahkemeleri ihdas etmiştir.</w:t>
      </w:r>
    </w:p>
    <w:p w:rsid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379C">
        <w:rPr>
          <w:rFonts w:ascii="Times New Roman" w:eastAsia="Times New Roman" w:hAnsi="Times New Roman" w:cs="Times New Roman"/>
          <w:color w:val="000000"/>
          <w:sz w:val="24"/>
          <w:szCs w:val="26"/>
          <w:lang w:eastAsia="tr-TR"/>
        </w:rPr>
        <w:t xml:space="preserve">Ancak bu kanunun geçici 2. maddesine konulan 'Genel ceza mahkemelerinde görülmekte olan ve bu Kanunun yürürlüğe girdiği tarihte </w:t>
      </w:r>
      <w:proofErr w:type="spellStart"/>
      <w:r w:rsidRPr="00DF379C">
        <w:rPr>
          <w:rFonts w:ascii="Times New Roman" w:eastAsia="Times New Roman" w:hAnsi="Times New Roman" w:cs="Times New Roman"/>
          <w:color w:val="000000"/>
          <w:sz w:val="24"/>
          <w:szCs w:val="26"/>
          <w:lang w:eastAsia="tr-TR"/>
        </w:rPr>
        <w:t>onsekiz</w:t>
      </w:r>
      <w:proofErr w:type="spellEnd"/>
      <w:r w:rsidRPr="00DF379C">
        <w:rPr>
          <w:rFonts w:ascii="Times New Roman" w:eastAsia="Times New Roman" w:hAnsi="Times New Roman" w:cs="Times New Roman"/>
          <w:color w:val="000000"/>
          <w:sz w:val="24"/>
          <w:szCs w:val="26"/>
          <w:lang w:eastAsia="tr-TR"/>
        </w:rPr>
        <w:t xml:space="preserve"> yaşını doldurmuş olan sanıklar hakkındaki dava ve işler çocuk mahkemeleri ile çocuk ağır ceza mahkemelerine devredilmez' hükmünün, getirilen bu özel uygulama ve tedbirlere uymadığı, alınmak istenen tedbirlere aykırı olduğu açıktır.</w:t>
      </w:r>
    </w:p>
    <w:p w:rsidR="00DF379C" w:rsidRP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379C">
        <w:rPr>
          <w:rFonts w:ascii="Times New Roman" w:eastAsia="Times New Roman" w:hAnsi="Times New Roman" w:cs="Times New Roman"/>
          <w:color w:val="000000"/>
          <w:sz w:val="24"/>
          <w:szCs w:val="26"/>
          <w:lang w:eastAsia="tr-TR"/>
        </w:rPr>
        <w:t xml:space="preserve">Yine Anayasamızın 'Kanuni </w:t>
      </w:r>
      <w:proofErr w:type="gramStart"/>
      <w:r w:rsidRPr="00DF379C">
        <w:rPr>
          <w:rFonts w:ascii="Times New Roman" w:eastAsia="Times New Roman" w:hAnsi="Times New Roman" w:cs="Times New Roman"/>
          <w:color w:val="000000"/>
          <w:sz w:val="24"/>
          <w:szCs w:val="26"/>
          <w:lang w:eastAsia="tr-TR"/>
        </w:rPr>
        <w:t>hakim</w:t>
      </w:r>
      <w:proofErr w:type="gramEnd"/>
      <w:r w:rsidRPr="00DF379C">
        <w:rPr>
          <w:rFonts w:ascii="Times New Roman" w:eastAsia="Times New Roman" w:hAnsi="Times New Roman" w:cs="Times New Roman"/>
          <w:color w:val="000000"/>
          <w:sz w:val="24"/>
          <w:szCs w:val="26"/>
          <w:lang w:eastAsia="tr-TR"/>
        </w:rPr>
        <w:t xml:space="preserve"> güvencesi' başlıklı 37. maddesinde de 'Hiç kimse kanunen tabi olduğu mahkemeden başka bir merci önüne çıkarılamaz. Bir kimseyi kanunen tabi olduğu mahkemeden başka bir merci önüne çıkarma sonucunu doğuran yargı yetkisine sahip olağanüstü merciler kurulamaz' hükmü mevcuttur.</w:t>
      </w:r>
    </w:p>
    <w:p w:rsidR="00DF379C" w:rsidRP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379C">
        <w:rPr>
          <w:rFonts w:ascii="Times New Roman" w:eastAsia="Times New Roman" w:hAnsi="Times New Roman" w:cs="Times New Roman"/>
          <w:color w:val="000000"/>
          <w:sz w:val="24"/>
          <w:szCs w:val="26"/>
          <w:lang w:eastAsia="tr-TR"/>
        </w:rPr>
        <w:t xml:space="preserve">Anayasamızın 37. maddesine göre 18 yaşından küçüklerin yargılanması gereken yer çocuk mahkemeleridir. 5395 </w:t>
      </w:r>
      <w:proofErr w:type="spellStart"/>
      <w:proofErr w:type="gramStart"/>
      <w:r w:rsidRPr="00DF379C">
        <w:rPr>
          <w:rFonts w:ascii="Times New Roman" w:eastAsia="Times New Roman" w:hAnsi="Times New Roman" w:cs="Times New Roman"/>
          <w:color w:val="000000"/>
          <w:sz w:val="24"/>
          <w:szCs w:val="26"/>
          <w:lang w:eastAsia="tr-TR"/>
        </w:rPr>
        <w:t>SK.un</w:t>
      </w:r>
      <w:proofErr w:type="spellEnd"/>
      <w:proofErr w:type="gramEnd"/>
      <w:r w:rsidRPr="00DF379C">
        <w:rPr>
          <w:rFonts w:ascii="Times New Roman" w:eastAsia="Times New Roman" w:hAnsi="Times New Roman" w:cs="Times New Roman"/>
          <w:color w:val="000000"/>
          <w:sz w:val="24"/>
          <w:szCs w:val="26"/>
          <w:lang w:eastAsia="tr-TR"/>
        </w:rPr>
        <w:t xml:space="preserve"> yürürlüğünden önce haklarında dava açılıp çocuk mahkemelerinde yargılanan sanıklarla, bu kanunun yürürlüğü sırasında her hangi bir sebeple davası açılmamış veya çocuk mahkemesine devredilmemiş sanıkların hukuki statüleri, yararlandıkları kanuni haklar arasında farklılıklar bulunacaktır. Bu da, Anayasamızın 10. maddesine açık bir aykırılık göstermektedir.</w:t>
      </w:r>
      <w:r w:rsidRPr="00DF379C">
        <w:rPr>
          <w:rFonts w:ascii="Times New Roman" w:eastAsia="Times New Roman" w:hAnsi="Times New Roman" w:cs="Times New Roman"/>
          <w:color w:val="000000"/>
          <w:sz w:val="24"/>
          <w:szCs w:val="24"/>
          <w:lang w:eastAsia="tr-TR"/>
        </w:rPr>
        <w:t> </w:t>
      </w:r>
    </w:p>
    <w:p w:rsidR="00DF379C" w:rsidRP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379C">
        <w:rPr>
          <w:rFonts w:ascii="Times New Roman" w:eastAsia="Times New Roman" w:hAnsi="Times New Roman" w:cs="Times New Roman"/>
          <w:color w:val="000000"/>
          <w:sz w:val="24"/>
          <w:szCs w:val="26"/>
          <w:lang w:eastAsia="tr-TR"/>
        </w:rPr>
        <w:t xml:space="preserve">Ayrıca 5271 sayılı </w:t>
      </w:r>
      <w:proofErr w:type="spellStart"/>
      <w:proofErr w:type="gramStart"/>
      <w:r w:rsidRPr="00DF379C">
        <w:rPr>
          <w:rFonts w:ascii="Times New Roman" w:eastAsia="Times New Roman" w:hAnsi="Times New Roman" w:cs="Times New Roman"/>
          <w:color w:val="000000"/>
          <w:sz w:val="24"/>
          <w:szCs w:val="26"/>
          <w:lang w:eastAsia="tr-TR"/>
        </w:rPr>
        <w:t>CMK.nun</w:t>
      </w:r>
      <w:proofErr w:type="spellEnd"/>
      <w:proofErr w:type="gramEnd"/>
      <w:r w:rsidRPr="00DF379C">
        <w:rPr>
          <w:rFonts w:ascii="Times New Roman" w:eastAsia="Times New Roman" w:hAnsi="Times New Roman" w:cs="Times New Roman"/>
          <w:color w:val="000000"/>
          <w:sz w:val="24"/>
          <w:szCs w:val="26"/>
          <w:lang w:eastAsia="tr-TR"/>
        </w:rPr>
        <w:t xml:space="preserve"> 10/2 madde metni nazara alındığında, bu hüküm aynı </w:t>
      </w:r>
      <w:proofErr w:type="gramStart"/>
      <w:r w:rsidRPr="00DF379C">
        <w:rPr>
          <w:rFonts w:ascii="Times New Roman" w:eastAsia="Times New Roman" w:hAnsi="Times New Roman" w:cs="Times New Roman"/>
          <w:color w:val="000000"/>
          <w:sz w:val="24"/>
          <w:szCs w:val="26"/>
          <w:lang w:eastAsia="tr-TR"/>
        </w:rPr>
        <w:t>davada</w:t>
      </w:r>
      <w:proofErr w:type="gramEnd"/>
      <w:r w:rsidRPr="00DF379C">
        <w:rPr>
          <w:rFonts w:ascii="Times New Roman" w:eastAsia="Times New Roman" w:hAnsi="Times New Roman" w:cs="Times New Roman"/>
          <w:color w:val="000000"/>
          <w:sz w:val="24"/>
          <w:szCs w:val="26"/>
          <w:lang w:eastAsia="tr-TR"/>
        </w:rPr>
        <w:t xml:space="preserve"> yargılanan sanıklar arasında eşitsizlik ve kargaşa da yaratacaktır.</w:t>
      </w:r>
      <w:r w:rsidRPr="00DF379C">
        <w:rPr>
          <w:rFonts w:ascii="Times New Roman" w:eastAsia="Times New Roman" w:hAnsi="Times New Roman" w:cs="Times New Roman"/>
          <w:color w:val="000000"/>
          <w:sz w:val="24"/>
          <w:szCs w:val="24"/>
          <w:lang w:eastAsia="tr-TR"/>
        </w:rPr>
        <w:t> </w:t>
      </w:r>
    </w:p>
    <w:p w:rsidR="00DF379C" w:rsidRPr="00DF379C" w:rsidRDefault="00DF379C" w:rsidP="00DF379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379C">
        <w:rPr>
          <w:rFonts w:ascii="Times New Roman" w:eastAsia="Times New Roman" w:hAnsi="Times New Roman" w:cs="Times New Roman"/>
          <w:color w:val="000000"/>
          <w:sz w:val="24"/>
          <w:szCs w:val="26"/>
          <w:lang w:eastAsia="tr-TR"/>
        </w:rPr>
        <w:t>Bu sebeple Anayasanın 10 ve 37. maddelerine aykırı olan, 5395 sayılı Çocuk Koruma Kanununun Geçici 1/2. maddesinin iptaline karar verilmesini talep etmek gerekmektedir.'         "</w:t>
      </w:r>
    </w:p>
    <w:p w:rsidR="00CE1FB9" w:rsidRPr="00DF379C" w:rsidRDefault="00CE1FB9" w:rsidP="00DF379C">
      <w:pPr>
        <w:spacing w:before="100" w:beforeAutospacing="1" w:after="100" w:afterAutospacing="1" w:line="240" w:lineRule="auto"/>
        <w:ind w:firstLine="709"/>
        <w:jc w:val="both"/>
        <w:rPr>
          <w:rFonts w:ascii="Times New Roman" w:hAnsi="Times New Roman" w:cs="Times New Roman"/>
          <w:sz w:val="24"/>
        </w:rPr>
      </w:pPr>
    </w:p>
    <w:sectPr w:rsidR="00CE1FB9" w:rsidRPr="00DF379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6F7" w:rsidRDefault="002B16F7" w:rsidP="00DF379C">
      <w:pPr>
        <w:spacing w:after="0" w:line="240" w:lineRule="auto"/>
      </w:pPr>
      <w:r>
        <w:separator/>
      </w:r>
    </w:p>
  </w:endnote>
  <w:endnote w:type="continuationSeparator" w:id="0">
    <w:p w:rsidR="002B16F7" w:rsidRDefault="002B16F7" w:rsidP="00DF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79C" w:rsidRDefault="00DF379C" w:rsidP="004F758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379C" w:rsidRDefault="00DF379C" w:rsidP="00DF37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79C" w:rsidRPr="00DF379C" w:rsidRDefault="00DF379C" w:rsidP="004F7589">
    <w:pPr>
      <w:pStyle w:val="Altbilgi"/>
      <w:framePr w:wrap="around" w:vAnchor="text" w:hAnchor="margin" w:xAlign="right" w:y="1"/>
      <w:rPr>
        <w:rStyle w:val="SayfaNumaras"/>
        <w:rFonts w:ascii="Times New Roman" w:hAnsi="Times New Roman" w:cs="Times New Roman"/>
      </w:rPr>
    </w:pPr>
    <w:r w:rsidRPr="00DF379C">
      <w:rPr>
        <w:rStyle w:val="SayfaNumaras"/>
        <w:rFonts w:ascii="Times New Roman" w:hAnsi="Times New Roman" w:cs="Times New Roman"/>
      </w:rPr>
      <w:fldChar w:fldCharType="begin"/>
    </w:r>
    <w:r w:rsidRPr="00DF379C">
      <w:rPr>
        <w:rStyle w:val="SayfaNumaras"/>
        <w:rFonts w:ascii="Times New Roman" w:hAnsi="Times New Roman" w:cs="Times New Roman"/>
      </w:rPr>
      <w:instrText xml:space="preserve">PAGE  </w:instrText>
    </w:r>
    <w:r w:rsidRPr="00DF379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F379C">
      <w:rPr>
        <w:rStyle w:val="SayfaNumaras"/>
        <w:rFonts w:ascii="Times New Roman" w:hAnsi="Times New Roman" w:cs="Times New Roman"/>
      </w:rPr>
      <w:fldChar w:fldCharType="end"/>
    </w:r>
  </w:p>
  <w:p w:rsidR="00DF379C" w:rsidRPr="00DF379C" w:rsidRDefault="00DF379C" w:rsidP="00DF379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6F7" w:rsidRDefault="002B16F7" w:rsidP="00DF379C">
      <w:pPr>
        <w:spacing w:after="0" w:line="240" w:lineRule="auto"/>
      </w:pPr>
      <w:r>
        <w:separator/>
      </w:r>
    </w:p>
  </w:footnote>
  <w:footnote w:type="continuationSeparator" w:id="0">
    <w:p w:rsidR="002B16F7" w:rsidRDefault="002B16F7" w:rsidP="00DF3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79C" w:rsidRPr="00A75457" w:rsidRDefault="00DF379C" w:rsidP="00DF379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5457">
      <w:rPr>
        <w:rFonts w:ascii="Times New Roman" w:eastAsia="Times New Roman" w:hAnsi="Times New Roman" w:cs="Times New Roman"/>
        <w:b/>
        <w:color w:val="000000"/>
        <w:sz w:val="24"/>
        <w:szCs w:val="24"/>
        <w:lang w:eastAsia="tr-TR"/>
      </w:rPr>
      <w:t>Esas Sayısı  :</w:t>
    </w:r>
    <w:r w:rsidRPr="00A75457">
      <w:rPr>
        <w:rFonts w:ascii="Times New Roman" w:eastAsia="Times New Roman" w:hAnsi="Times New Roman" w:cs="Times New Roman"/>
        <w:b/>
        <w:color w:val="000000"/>
        <w:sz w:val="24"/>
        <w:szCs w:val="24"/>
        <w:lang w:eastAsia="tr-TR"/>
      </w:rPr>
      <w:tab/>
      <w:t>2006/116</w:t>
    </w:r>
  </w:p>
  <w:p w:rsidR="00DF379C" w:rsidRPr="00A75457" w:rsidRDefault="00DF379C" w:rsidP="00DF379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5457">
      <w:rPr>
        <w:rFonts w:ascii="Times New Roman" w:eastAsia="Times New Roman" w:hAnsi="Times New Roman" w:cs="Times New Roman"/>
        <w:b/>
        <w:color w:val="000000"/>
        <w:sz w:val="24"/>
        <w:szCs w:val="24"/>
        <w:lang w:eastAsia="tr-TR"/>
      </w:rPr>
      <w:t xml:space="preserve">Karar </w:t>
    </w:r>
    <w:proofErr w:type="gramStart"/>
    <w:r w:rsidRPr="00A75457">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A75457">
      <w:rPr>
        <w:rFonts w:ascii="Times New Roman" w:eastAsia="Times New Roman" w:hAnsi="Times New Roman" w:cs="Times New Roman"/>
        <w:b/>
        <w:color w:val="000000"/>
        <w:sz w:val="24"/>
        <w:szCs w:val="24"/>
        <w:lang w:eastAsia="tr-TR"/>
      </w:rPr>
      <w:t>: 2009</w:t>
    </w:r>
    <w:proofErr w:type="gramEnd"/>
    <w:r w:rsidRPr="00A75457">
      <w:rPr>
        <w:rFonts w:ascii="Times New Roman" w:eastAsia="Times New Roman" w:hAnsi="Times New Roman" w:cs="Times New Roman"/>
        <w:b/>
        <w:color w:val="000000"/>
        <w:sz w:val="24"/>
        <w:szCs w:val="24"/>
        <w:lang w:eastAsia="tr-TR"/>
      </w:rPr>
      <w:t>/125</w:t>
    </w:r>
  </w:p>
  <w:p w:rsidR="00DF379C" w:rsidRPr="00DF379C" w:rsidRDefault="00DF379C" w:rsidP="00DF37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9C"/>
    <w:rsid w:val="002B16F7"/>
    <w:rsid w:val="00CE1FB9"/>
    <w:rsid w:val="00DF3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8E073-F890-4221-93C1-EE78AEA8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37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379C"/>
  </w:style>
  <w:style w:type="paragraph" w:styleId="Altbilgi">
    <w:name w:val="footer"/>
    <w:basedOn w:val="Normal"/>
    <w:link w:val="AltbilgiChar"/>
    <w:uiPriority w:val="99"/>
    <w:unhideWhenUsed/>
    <w:rsid w:val="00DF37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379C"/>
  </w:style>
  <w:style w:type="character" w:styleId="SayfaNumaras">
    <w:name w:val="page number"/>
    <w:basedOn w:val="VarsaylanParagrafYazTipi"/>
    <w:uiPriority w:val="99"/>
    <w:semiHidden/>
    <w:unhideWhenUsed/>
    <w:rsid w:val="00DF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2019-01-29T10:57:00Z</dcterms:created>
  <dcterms:modified xsi:type="dcterms:W3CDTF">2019-01-29T10:57:00Z</dcterms:modified>
</cp:coreProperties>
</file>