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B1ADC" w:rsidRPr="002B1ADC" w:rsidRDefault="002B1ADC" w:rsidP="002B1ADC">
      <w:pPr>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r w:rsidRPr="002B1ADC">
        <w:rPr>
          <w:rFonts w:ascii="Times New Roman" w:eastAsia="Times New Roman" w:hAnsi="Times New Roman" w:cs="Times New Roman"/>
          <w:b/>
          <w:bCs/>
          <w:color w:val="000000"/>
          <w:sz w:val="24"/>
          <w:szCs w:val="26"/>
          <w:lang w:eastAsia="tr-TR"/>
        </w:rPr>
        <w:t>"...</w:t>
      </w:r>
    </w:p>
    <w:p w:rsidR="002B1ADC" w:rsidRDefault="002B1ADC" w:rsidP="002B1AD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B1ADC">
        <w:rPr>
          <w:rFonts w:ascii="Times New Roman" w:eastAsia="Times New Roman" w:hAnsi="Times New Roman" w:cs="Times New Roman"/>
          <w:b/>
          <w:bCs/>
          <w:color w:val="000000"/>
          <w:sz w:val="24"/>
          <w:szCs w:val="26"/>
          <w:lang w:eastAsia="tr-TR"/>
        </w:rPr>
        <w:t>II- İTİRAZIN GEREKÇESİ</w:t>
      </w:r>
    </w:p>
    <w:p w:rsidR="002B1ADC" w:rsidRDefault="002B1ADC" w:rsidP="002B1AD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bookmarkStart w:id="0" w:name="_GoBack"/>
      <w:bookmarkEnd w:id="0"/>
      <w:r w:rsidRPr="002B1ADC">
        <w:rPr>
          <w:rFonts w:ascii="Times New Roman" w:eastAsia="Times New Roman" w:hAnsi="Times New Roman" w:cs="Times New Roman"/>
          <w:color w:val="000000"/>
          <w:sz w:val="24"/>
          <w:szCs w:val="26"/>
          <w:lang w:eastAsia="tr-TR"/>
        </w:rPr>
        <w:t>Başvuru kararının gerekçe bölümü şöyledir:</w:t>
      </w:r>
    </w:p>
    <w:p w:rsidR="002B1ADC" w:rsidRDefault="002B1ADC" w:rsidP="002B1AD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B1ADC">
        <w:rPr>
          <w:rFonts w:ascii="Times New Roman" w:eastAsia="Times New Roman" w:hAnsi="Times New Roman" w:cs="Times New Roman"/>
          <w:color w:val="000000"/>
          <w:sz w:val="24"/>
          <w:szCs w:val="26"/>
          <w:lang w:eastAsia="tr-TR"/>
        </w:rPr>
        <w:t>"Köy Hizmetleri Genel Müdürlüğü Erzurum Araştırma Enstitüsü Döner Sermaye</w:t>
      </w:r>
      <w:r w:rsidRPr="002B1ADC">
        <w:rPr>
          <w:rFonts w:ascii="Times New Roman" w:eastAsia="Times New Roman" w:hAnsi="Times New Roman" w:cs="Times New Roman"/>
          <w:color w:val="000000"/>
          <w:sz w:val="24"/>
          <w:szCs w:val="26"/>
          <w:lang w:eastAsia="tr-TR"/>
        </w:rPr>
        <w:br/>
        <w:t>İşletmesinde döner sermaye saymanı olarak görev yapan davacının vekili tarafından Maliye Bakanlığı Personeline Yapılacak Ek Ödemeye İlişkin Usul ve Esasların 2. maddesindeki "merkez ve taşra teşkilatı kadrolarında çalışan" ibaresi ile bu Esasların yürürlüğe konulmasına ilişkin Maliye Bakanlığı Personel Genel Müdürlüğü'nün 2.11.2004 gün ve B.07.0.PER.0.13 sayılı olurunun ikinci paragrafında yer alan aynı ibarenin ve Esasların eki 3 sayılı Cetvelin (8) numaralı sırasında parantez içinde yer alan "Maliye Bakanlığı Kadrosunda Olanlar" ibaresinin, ayrıca bu düzenleyici işlemlere dayalı olarak 15.1.2005 tarihinden itibaren ek ödemeden yararlandırmamasına ilişkin işlemin iptali, yoksun kaldığı parasal haklarının yasal faiziyle birlikte tazmini ve 213 sayılı Vergi Usul Kanununun 5234 sayılı Bazı Kanun ve Kanun Hükmünde Kararnamelerde Değişiklik Yapılmasına Dair Kanunun 5. maddesi ile değişik Ek 13. madde 4. fıkra (a) bendinin Anayasanın 10. maddesinde düzenlenen eşitlik ilkesine aykırı olduğundan bahisle iptali için Anayasa Mahkemesine başvurulması istemiyle verilen dava dilekçesi üzerine oluşturulan dosya incelenerek işin gereği görüşüldü:</w:t>
      </w:r>
    </w:p>
    <w:p w:rsidR="002B1ADC" w:rsidRDefault="002B1ADC" w:rsidP="002B1AD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B1ADC">
        <w:rPr>
          <w:rFonts w:ascii="Times New Roman" w:eastAsia="Times New Roman" w:hAnsi="Times New Roman" w:cs="Times New Roman"/>
          <w:color w:val="000000"/>
          <w:sz w:val="24"/>
          <w:szCs w:val="26"/>
          <w:lang w:eastAsia="tr-TR"/>
        </w:rPr>
        <w:t>Davacının ek ödemeden yararlandırılmamasına ilişkin dava konusu işlem ve bu</w:t>
      </w:r>
      <w:r w:rsidRPr="002B1ADC">
        <w:rPr>
          <w:rFonts w:ascii="Times New Roman" w:eastAsia="Times New Roman" w:hAnsi="Times New Roman" w:cs="Times New Roman"/>
          <w:color w:val="000000"/>
          <w:sz w:val="24"/>
          <w:szCs w:val="26"/>
          <w:lang w:eastAsia="tr-TR"/>
        </w:rPr>
        <w:br/>
        <w:t>işleme dayanak olan Maliye Bakanlığı Personeline Yapılacak Ek Ödemeye İlişkin Usul ve</w:t>
      </w:r>
      <w:r w:rsidRPr="002B1ADC">
        <w:rPr>
          <w:rFonts w:ascii="Times New Roman" w:eastAsia="Times New Roman" w:hAnsi="Times New Roman" w:cs="Times New Roman"/>
          <w:color w:val="000000"/>
          <w:sz w:val="24"/>
          <w:szCs w:val="26"/>
          <w:lang w:eastAsia="tr-TR"/>
        </w:rPr>
        <w:br/>
        <w:t>Esaslar ile bu Esasların yürürlüğe konulmasına ilişkin Maliye Bakanlığı olurunun, 213 sayılı</w:t>
      </w:r>
      <w:r w:rsidRPr="002B1ADC">
        <w:rPr>
          <w:rFonts w:ascii="Times New Roman" w:eastAsia="Times New Roman" w:hAnsi="Times New Roman" w:cs="Times New Roman"/>
          <w:color w:val="000000"/>
          <w:sz w:val="24"/>
          <w:szCs w:val="26"/>
          <w:lang w:eastAsia="tr-TR"/>
        </w:rPr>
        <w:br/>
        <w:t>Vergi Usul Kanununun 5234 sayılı Yasa ile değişik Ek 13. maddesinin 4. fıkrası (a) bendinde yer alan hükümle maddi ve hukuki ilişkisi bulunması nedeniyle Anayasaya aykırılık iddiası dikkate alınarak Anayasaya uygunluğunun incelenmesi gerekli görülmüştür.</w:t>
      </w:r>
    </w:p>
    <w:p w:rsidR="002B1ADC" w:rsidRDefault="002B1ADC" w:rsidP="002B1AD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B1ADC">
        <w:rPr>
          <w:rFonts w:ascii="Times New Roman" w:eastAsia="Times New Roman" w:hAnsi="Times New Roman" w:cs="Times New Roman"/>
          <w:color w:val="000000"/>
          <w:sz w:val="24"/>
          <w:szCs w:val="26"/>
          <w:lang w:eastAsia="tr-TR"/>
        </w:rPr>
        <w:t>21.9.2004 tarih ve 25590 sayılı Resmi Gazete'de yayımlanan 5234 sayılı Bazı Kanun ve Kanun Hükmünde Kararnamelerde Değişiklik Yapılmasına Dair Kanunun yayımı tarihinde yürürlüğe giren 5. maddesinin birinci fıkrasında 4.1.1961 tarihli ve 213 sayılı Vergi Usul Kanununun ek 13. maddesinin (4) numaralı fıkrasının (a) bendinde yer alan "Maliye Bakanlığının yurt dışı kadrolarında bulunan personeli dışında kalan personeline (sözleşmeli personel ile bağlı kuruluşların personeli dahil, bağlı kuruluşların kadro karşılığı sözleşmeli personeli hariç)" ibaresi "Maliye Bakanlığı ile bağlı kuruluşlarının merkez ve taşra teşkilatı kadrolarında çalışan memurlar ile sözleşmeli personele (bağlı kuruluşların kadro karşılığı sözleşmeli personel hariç)" şeklinde değiştirilmiştir.</w:t>
      </w:r>
    </w:p>
    <w:p w:rsidR="002B1ADC" w:rsidRDefault="002B1ADC" w:rsidP="002B1AD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B1ADC">
        <w:rPr>
          <w:rFonts w:ascii="Times New Roman" w:eastAsia="Times New Roman" w:hAnsi="Times New Roman" w:cs="Times New Roman"/>
          <w:color w:val="000000"/>
          <w:sz w:val="24"/>
          <w:szCs w:val="26"/>
          <w:lang w:eastAsia="tr-TR"/>
        </w:rPr>
        <w:t>Dosyanın incelenmesinden, kadrosu Maliye Bakanlığı'na ait olmayan ancak görev yaptığı döner sermaye saymanlığına Maliye Bakanlığı oluru ile atanan ve izin, sicil, terfi gibi özlük işlemleri adı geçen Bakanlıkça yapılan, 213 sayılı Yasanın ek 13. maddesi uyarınca Maliye Bakanlığı personeline yapılan ek ödemeden yararlandırılmakta olan davacının 213 sayılı Yasanın ek 13. maddesinde 5234 sayılı Yasa ile yapılan değişiklik üzerine yeniden düzenlenen ve 2.11.2004 tarihli Maliye Bakanlığı oluru ile yürürlüğe konulan Maliye Bakanlığı Personeline Yapılacak Ek Ödemeye İlişkin Usul ve Esaslardaki hükümler sonucu kadrosunun Maliye Bakanlığında olmaması nedeniyle söz konusu ek ödemeden 15.1.2005 tarihinden itibaren yararlandırılmayacağının bildirilmesi üzerine bakılan davanın açıldığı anlaşılmaktadır.</w:t>
      </w:r>
    </w:p>
    <w:p w:rsidR="002B1ADC" w:rsidRDefault="002B1ADC" w:rsidP="002B1AD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B1ADC">
        <w:rPr>
          <w:rFonts w:ascii="Times New Roman" w:eastAsia="Times New Roman" w:hAnsi="Times New Roman" w:cs="Times New Roman"/>
          <w:color w:val="000000"/>
          <w:sz w:val="24"/>
          <w:szCs w:val="26"/>
          <w:lang w:eastAsia="tr-TR"/>
        </w:rPr>
        <w:t xml:space="preserve">Kadrosu Maliye Bakanlığında bulunmayan ve 213 sayılı Yasanın değişiklikten önceki ek 13. maddesi hükmü uyarınca Maliye Bakanlığı Personeline ödenmekte olan ek ödemenin </w:t>
      </w:r>
      <w:r w:rsidRPr="002B1ADC">
        <w:rPr>
          <w:rFonts w:ascii="Times New Roman" w:eastAsia="Times New Roman" w:hAnsi="Times New Roman" w:cs="Times New Roman"/>
          <w:color w:val="000000"/>
          <w:sz w:val="24"/>
          <w:szCs w:val="26"/>
          <w:lang w:eastAsia="tr-TR"/>
        </w:rPr>
        <w:lastRenderedPageBreak/>
        <w:t>yararlandırılan döner sermaye saymanları 5234 sayılı Yasa ile ek ödeme kapsamı dışında bırakılmıştır.</w:t>
      </w:r>
    </w:p>
    <w:p w:rsidR="002B1ADC" w:rsidRDefault="002B1ADC" w:rsidP="002B1AD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B1ADC">
        <w:rPr>
          <w:rFonts w:ascii="Times New Roman" w:eastAsia="Times New Roman" w:hAnsi="Times New Roman" w:cs="Times New Roman"/>
          <w:color w:val="000000"/>
          <w:sz w:val="24"/>
          <w:szCs w:val="26"/>
          <w:lang w:eastAsia="tr-TR"/>
        </w:rPr>
        <w:t>Anayasanın 10. maddesinde; herkesin, dil, ırk, renk, cinsiyet, siyasi düşünce, felsefi inanç, din, mezhep ve benzeri sebeplerle ayrım gözetilmeksizin kanun önünde eşit olduğu vurgulanmıştır. Eşitlik ilkesi ile birbirleriyle aynı durumda olanlara aynı kuralların</w:t>
      </w:r>
      <w:r w:rsidRPr="002B1ADC">
        <w:rPr>
          <w:rFonts w:ascii="Times New Roman" w:eastAsia="Times New Roman" w:hAnsi="Times New Roman" w:cs="Times New Roman"/>
          <w:color w:val="000000"/>
          <w:sz w:val="24"/>
          <w:szCs w:val="26"/>
          <w:lang w:eastAsia="tr-TR"/>
        </w:rPr>
        <w:br/>
        <w:t>uygulanmasının sağlanması amaçlanmıştır. Bu itibarla aynı hukuksal durumda olanlar için</w:t>
      </w:r>
      <w:r w:rsidRPr="002B1ADC">
        <w:rPr>
          <w:rFonts w:ascii="Times New Roman" w:eastAsia="Times New Roman" w:hAnsi="Times New Roman" w:cs="Times New Roman"/>
          <w:color w:val="000000"/>
          <w:sz w:val="24"/>
          <w:szCs w:val="26"/>
          <w:lang w:eastAsia="tr-TR"/>
        </w:rPr>
        <w:br/>
        <w:t>yapılan farklı düzenlemeler Anayasa'nın eşitlik ilkesine aykırılık oluşturmaktadır.</w:t>
      </w:r>
    </w:p>
    <w:p w:rsidR="002B1ADC" w:rsidRDefault="002B1ADC" w:rsidP="002B1AD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B1ADC">
        <w:rPr>
          <w:rFonts w:ascii="Times New Roman" w:eastAsia="Times New Roman" w:hAnsi="Times New Roman" w:cs="Times New Roman"/>
          <w:color w:val="000000"/>
          <w:sz w:val="24"/>
          <w:szCs w:val="26"/>
          <w:lang w:eastAsia="tr-TR"/>
        </w:rPr>
        <w:t>178 sayılı Maliye Bakanlığının Teşkilat ve Görevleri Hakkında Kanun Hükmünde Kararnamenin 11. maddesinin (a) bendinde, genel bütçeli daireler nezdindeki merkez saymanlıkları, askeri ve mülki tüm nakit saymanlıkları, genel ve katma bütçeli kurum saymanlıkları, kadroları Bakanlıkta olan döner sermaye ve fon saymanlıklarının Muhasebat Genel Müdürlüğüne bağlı olduğu belirtilmiştir.</w:t>
      </w:r>
    </w:p>
    <w:p w:rsidR="002B1ADC" w:rsidRDefault="002B1ADC" w:rsidP="002B1AD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B1ADC">
        <w:rPr>
          <w:rFonts w:ascii="Times New Roman" w:eastAsia="Times New Roman" w:hAnsi="Times New Roman" w:cs="Times New Roman"/>
          <w:color w:val="000000"/>
          <w:sz w:val="24"/>
          <w:szCs w:val="26"/>
          <w:lang w:eastAsia="tr-TR"/>
        </w:rPr>
        <w:t>Bu durumda, kadroları kendi kurumlarında bulunmakla birlikte döner sermaye</w:t>
      </w:r>
      <w:r w:rsidRPr="002B1ADC">
        <w:rPr>
          <w:rFonts w:ascii="Times New Roman" w:eastAsia="Times New Roman" w:hAnsi="Times New Roman" w:cs="Times New Roman"/>
          <w:color w:val="000000"/>
          <w:sz w:val="24"/>
          <w:szCs w:val="26"/>
          <w:lang w:eastAsia="tr-TR"/>
        </w:rPr>
        <w:br/>
        <w:t>saymanlığına Maliye Bakanlığınca atanan ve sicil, terfi izin gibi özlük işleri aynı Bakanlıkça yapılan, her mali yıl ya da hesap dönemi sonunda Sayıştay'a hesap veren ve kusursuz sorumluluk esasına göre sorumlu olan kadrosu Maliye Bakanlığında bulunan döner sermaye saymanları gibi aynı unvan, görev, yetki ve sorumluluklara sahip olan döner sermaye saymanlarının 213 sayılı Yasanın ek 13. maddesinin 4. fıkrasının (a) bendinde 5234 sayılı Yasanın 5. maddesi ile yapılan değişiklikle sadece kadro ölçütünden hareketle aynı yerde görev yapan kadrosu Maliye Bakanlığında olan döner sermaye saymanlarına yapılan ek ödemeden yararlandırılmamalarının Anayasanın 10. maddesindeki eşitlik ilkesine aykırı olduğu sonucuna ulaşılmıştır.</w:t>
      </w:r>
    </w:p>
    <w:p w:rsidR="002B1ADC" w:rsidRPr="002B1ADC" w:rsidRDefault="002B1ADC" w:rsidP="002B1AD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B1ADC">
        <w:rPr>
          <w:rFonts w:ascii="Times New Roman" w:eastAsia="Times New Roman" w:hAnsi="Times New Roman" w:cs="Times New Roman"/>
          <w:color w:val="000000"/>
          <w:sz w:val="24"/>
          <w:szCs w:val="26"/>
          <w:lang w:eastAsia="tr-TR"/>
        </w:rPr>
        <w:t>Açıklanan nedenlerle 5234 sayılı Bazı Kanun ve Kanun Hükmünde Kararnamelerde Değişiklik Yapılmasına Dair Kanunun 213 sayılı Vergi Usul Kanununun ek 13. maddesinin 4. fıkrası (a) bendini değiştiren 5. maddesindeki "Maliye Bakanlığı ile bağlı kuruluşlarının merkez ve taşra teşkilatı kadrolarında ..." ibaresinin Anayasanın 10. maddesine aykırı olduğu kanısına varıldığından anılan madde hükmünde geçen söz konusu ibarenin iptali istemiyle Anayasa Mahkemesine başvurulmasına, dava dosyasının esastan görüşülmesinin, Anayasa Mahkemesince bu konuda bir karar verilinceye kadar bekletilmesine 17.4.2006 tarihinde oybirliği ile karar verildi.""</w:t>
      </w:r>
    </w:p>
    <w:p w:rsidR="00CE1FB9" w:rsidRPr="002B1ADC" w:rsidRDefault="00CE1FB9" w:rsidP="002B1ADC">
      <w:pPr>
        <w:spacing w:before="100" w:beforeAutospacing="1" w:after="100" w:afterAutospacing="1" w:line="240" w:lineRule="auto"/>
        <w:ind w:firstLine="709"/>
        <w:jc w:val="both"/>
        <w:rPr>
          <w:rFonts w:ascii="Times New Roman" w:hAnsi="Times New Roman" w:cs="Times New Roman"/>
          <w:sz w:val="24"/>
        </w:rPr>
      </w:pPr>
    </w:p>
    <w:sectPr w:rsidR="00CE1FB9" w:rsidRPr="002B1ADC">
      <w:headerReference w:type="default" r:id="rId6"/>
      <w:footerReference w:type="even"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82444" w:rsidRDefault="00182444" w:rsidP="002B1ADC">
      <w:pPr>
        <w:spacing w:after="0" w:line="240" w:lineRule="auto"/>
      </w:pPr>
      <w:r>
        <w:separator/>
      </w:r>
    </w:p>
  </w:endnote>
  <w:endnote w:type="continuationSeparator" w:id="0">
    <w:p w:rsidR="00182444" w:rsidRDefault="00182444" w:rsidP="002B1AD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B1ADC" w:rsidRDefault="002B1ADC" w:rsidP="001873E7">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2B1ADC" w:rsidRDefault="002B1ADC" w:rsidP="002B1ADC">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B1ADC" w:rsidRPr="002B1ADC" w:rsidRDefault="002B1ADC" w:rsidP="001873E7">
    <w:pPr>
      <w:pStyle w:val="Altbilgi"/>
      <w:framePr w:wrap="around" w:vAnchor="text" w:hAnchor="margin" w:xAlign="right" w:y="1"/>
      <w:rPr>
        <w:rStyle w:val="SayfaNumaras"/>
        <w:rFonts w:ascii="Times New Roman" w:hAnsi="Times New Roman" w:cs="Times New Roman"/>
      </w:rPr>
    </w:pPr>
    <w:r w:rsidRPr="002B1ADC">
      <w:rPr>
        <w:rStyle w:val="SayfaNumaras"/>
        <w:rFonts w:ascii="Times New Roman" w:hAnsi="Times New Roman" w:cs="Times New Roman"/>
      </w:rPr>
      <w:fldChar w:fldCharType="begin"/>
    </w:r>
    <w:r w:rsidRPr="002B1ADC">
      <w:rPr>
        <w:rStyle w:val="SayfaNumaras"/>
        <w:rFonts w:ascii="Times New Roman" w:hAnsi="Times New Roman" w:cs="Times New Roman"/>
      </w:rPr>
      <w:instrText xml:space="preserve">PAGE  </w:instrText>
    </w:r>
    <w:r w:rsidRPr="002B1ADC">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2B1ADC">
      <w:rPr>
        <w:rStyle w:val="SayfaNumaras"/>
        <w:rFonts w:ascii="Times New Roman" w:hAnsi="Times New Roman" w:cs="Times New Roman"/>
      </w:rPr>
      <w:fldChar w:fldCharType="end"/>
    </w:r>
  </w:p>
  <w:p w:rsidR="002B1ADC" w:rsidRPr="002B1ADC" w:rsidRDefault="002B1ADC" w:rsidP="002B1ADC">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82444" w:rsidRDefault="00182444" w:rsidP="002B1ADC">
      <w:pPr>
        <w:spacing w:after="0" w:line="240" w:lineRule="auto"/>
      </w:pPr>
      <w:r>
        <w:separator/>
      </w:r>
    </w:p>
  </w:footnote>
  <w:footnote w:type="continuationSeparator" w:id="0">
    <w:p w:rsidR="00182444" w:rsidRDefault="00182444" w:rsidP="002B1AD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B1ADC" w:rsidRPr="00782411" w:rsidRDefault="002B1ADC" w:rsidP="002B1ADC">
    <w:pPr>
      <w:spacing w:after="0" w:line="240" w:lineRule="auto"/>
      <w:jc w:val="both"/>
      <w:rPr>
        <w:rFonts w:ascii="Times New Roman" w:eastAsia="Times New Roman" w:hAnsi="Times New Roman" w:cs="Times New Roman"/>
        <w:b/>
        <w:color w:val="000000"/>
        <w:sz w:val="24"/>
        <w:szCs w:val="24"/>
        <w:lang w:eastAsia="tr-TR"/>
      </w:rPr>
    </w:pPr>
    <w:r w:rsidRPr="00782411">
      <w:rPr>
        <w:rFonts w:ascii="Times New Roman" w:eastAsia="Times New Roman" w:hAnsi="Times New Roman" w:cs="Times New Roman"/>
        <w:b/>
        <w:bCs/>
        <w:color w:val="000000"/>
        <w:sz w:val="24"/>
        <w:szCs w:val="26"/>
        <w:lang w:eastAsia="tr-TR"/>
      </w:rPr>
      <w:t>Esas Sayısı     : 2006/109</w:t>
    </w:r>
  </w:p>
  <w:p w:rsidR="002B1ADC" w:rsidRPr="00782411" w:rsidRDefault="002B1ADC" w:rsidP="002B1ADC">
    <w:pPr>
      <w:spacing w:after="0" w:line="240" w:lineRule="auto"/>
      <w:jc w:val="both"/>
      <w:rPr>
        <w:rFonts w:ascii="Times New Roman" w:eastAsia="Times New Roman" w:hAnsi="Times New Roman" w:cs="Times New Roman"/>
        <w:b/>
        <w:color w:val="000000"/>
        <w:sz w:val="24"/>
        <w:szCs w:val="24"/>
        <w:lang w:eastAsia="tr-TR"/>
      </w:rPr>
    </w:pPr>
    <w:r w:rsidRPr="00782411">
      <w:rPr>
        <w:rFonts w:ascii="Times New Roman" w:eastAsia="Times New Roman" w:hAnsi="Times New Roman" w:cs="Times New Roman"/>
        <w:b/>
        <w:bCs/>
        <w:color w:val="000000"/>
        <w:sz w:val="24"/>
        <w:szCs w:val="26"/>
        <w:lang w:eastAsia="tr-TR"/>
      </w:rPr>
      <w:t>Karar Sayısı   : 2008/82</w:t>
    </w:r>
  </w:p>
  <w:p w:rsidR="002B1ADC" w:rsidRPr="002B1ADC" w:rsidRDefault="002B1ADC" w:rsidP="002B1ADC">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1ADC"/>
    <w:rsid w:val="00182444"/>
    <w:rsid w:val="002B1ADC"/>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E893574-62E3-4132-9908-8D12E4A8C0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western">
    <w:name w:val="western"/>
    <w:basedOn w:val="Normal"/>
    <w:rsid w:val="002B1ADC"/>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2B1ADC"/>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2B1ADC"/>
  </w:style>
  <w:style w:type="paragraph" w:styleId="Altbilgi">
    <w:name w:val="footer"/>
    <w:basedOn w:val="Normal"/>
    <w:link w:val="AltbilgiChar"/>
    <w:uiPriority w:val="99"/>
    <w:unhideWhenUsed/>
    <w:rsid w:val="002B1ADC"/>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2B1ADC"/>
  </w:style>
  <w:style w:type="character" w:styleId="SayfaNumaras">
    <w:name w:val="page number"/>
    <w:basedOn w:val="VarsaylanParagrafYazTipi"/>
    <w:uiPriority w:val="99"/>
    <w:semiHidden/>
    <w:unhideWhenUsed/>
    <w:rsid w:val="002B1AD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55694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881</Words>
  <Characters>5023</Characters>
  <Application>Microsoft Office Word</Application>
  <DocSecurity>0</DocSecurity>
  <Lines>41</Lines>
  <Paragraphs>11</Paragraphs>
  <ScaleCrop>false</ScaleCrop>
  <Company/>
  <LinksUpToDate>false</LinksUpToDate>
  <CharactersWithSpaces>5893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2019-01-29T07:21:00Z</dcterms:created>
  <dcterms:modified xsi:type="dcterms:W3CDTF">2019-01-29T07:22:00Z</dcterms:modified>
</cp:coreProperties>
</file>