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65F" w:rsidRPr="0027665F" w:rsidRDefault="0027665F" w:rsidP="0027665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7665F">
        <w:rPr>
          <w:rFonts w:ascii="Times New Roman" w:eastAsia="Times New Roman" w:hAnsi="Times New Roman" w:cs="Times New Roman"/>
          <w:b/>
          <w:bCs/>
          <w:color w:val="000000"/>
          <w:sz w:val="24"/>
          <w:szCs w:val="26"/>
          <w:lang w:eastAsia="tr-TR"/>
        </w:rPr>
        <w:t>"...</w:t>
      </w:r>
      <w:bookmarkStart w:id="0" w:name="_GoBack"/>
      <w:bookmarkEnd w:id="0"/>
    </w:p>
    <w:p w:rsidR="0027665F" w:rsidRDefault="0027665F" w:rsidP="002766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665F">
        <w:rPr>
          <w:rFonts w:ascii="Times New Roman" w:eastAsia="Times New Roman" w:hAnsi="Times New Roman" w:cs="Times New Roman"/>
          <w:b/>
          <w:bCs/>
          <w:color w:val="000000"/>
          <w:sz w:val="24"/>
          <w:szCs w:val="26"/>
          <w:lang w:eastAsia="tr-TR"/>
        </w:rPr>
        <w:t>II- İTİRAZIN GEREKÇESİ</w:t>
      </w:r>
    </w:p>
    <w:p w:rsidR="0027665F" w:rsidRDefault="0027665F" w:rsidP="002766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665F">
        <w:rPr>
          <w:rFonts w:ascii="Times New Roman" w:eastAsia="Times New Roman" w:hAnsi="Times New Roman" w:cs="Times New Roman"/>
          <w:color w:val="000000"/>
          <w:sz w:val="24"/>
          <w:szCs w:val="26"/>
          <w:lang w:eastAsia="tr-TR"/>
        </w:rPr>
        <w:t>İtiraz yoluna başvuran mahkeme, başvuru kararında şu gerekçelere yer vermiştir:</w:t>
      </w:r>
    </w:p>
    <w:p w:rsidR="0027665F" w:rsidRDefault="0027665F" w:rsidP="002766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665F">
        <w:rPr>
          <w:rFonts w:ascii="Times New Roman" w:eastAsia="Times New Roman" w:hAnsi="Times New Roman" w:cs="Times New Roman"/>
          <w:color w:val="000000"/>
          <w:sz w:val="24"/>
          <w:szCs w:val="26"/>
          <w:lang w:eastAsia="tr-TR"/>
        </w:rPr>
        <w:t>" 'Suçluluğu hükmen sabit oluncaya kadar kimse suçlu sayılamaz' şeklinde Anayasa'mızın 38. maddesinde yer alan ve Avrupa İnsan Hakları Sözleşmesinin altıncı maddesinde de benzer ifadelerle tanımlanan ilke "masumiyet karinesi" olarak adlandırılır. Yani bir kimse, yargı organınca suçluluğu kesin olarak belirlenmediği sürece masumdur.</w:t>
      </w:r>
    </w:p>
    <w:p w:rsidR="0027665F" w:rsidRDefault="0027665F" w:rsidP="002766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665F">
        <w:rPr>
          <w:rFonts w:ascii="Times New Roman" w:eastAsia="Times New Roman" w:hAnsi="Times New Roman" w:cs="Times New Roman"/>
          <w:color w:val="000000"/>
          <w:sz w:val="24"/>
          <w:szCs w:val="26"/>
          <w:lang w:eastAsia="tr-TR"/>
        </w:rPr>
        <w:t>Maddede tanımlanan diğer bir temel ilke ise "ceza sorumluluğun şahsiliği" ilkesidir. Yani bir kimse sadece kendi eyleminin sonuçlarından sorumludur. Her iki ilkenin ortak temel sonucu şudur. Bir kimsenin suçluluğu hemen hemen hiçbir şüpheye yer bırakmayacak şekilde açığa çıkarıldığında kişi suçu işlemekle itham edilebilir. Ve ancak böylesi bir durumda kişi, suçsuzluğunu kanıtlama yükümlülüğü altına sokulabilir.</w:t>
      </w:r>
    </w:p>
    <w:p w:rsidR="0027665F" w:rsidRDefault="0027665F" w:rsidP="002766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665F">
        <w:rPr>
          <w:rFonts w:ascii="Times New Roman" w:eastAsia="Times New Roman" w:hAnsi="Times New Roman" w:cs="Times New Roman"/>
          <w:color w:val="000000"/>
          <w:sz w:val="24"/>
          <w:szCs w:val="26"/>
          <w:lang w:eastAsia="tr-TR"/>
        </w:rPr>
        <w:t>Oysa iptali istenen maddede bu ilkeler ters yüz edilmiştir. Madde gereğince kişi daha başlangıçta "taşıt aracının eyleminden" sorumlu tutulmaktadır. Ve kişinin taşıt aracının sahibi olması suçluluğun karinesi sayılmakta, kişi suçsuzluğunu kanıtlama yükümlülüğü altına sokulmaktadır.</w:t>
      </w:r>
    </w:p>
    <w:p w:rsidR="0027665F" w:rsidRDefault="0027665F" w:rsidP="002766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665F">
        <w:rPr>
          <w:rFonts w:ascii="Times New Roman" w:eastAsia="Times New Roman" w:hAnsi="Times New Roman" w:cs="Times New Roman"/>
          <w:color w:val="000000"/>
          <w:sz w:val="24"/>
          <w:szCs w:val="26"/>
          <w:lang w:eastAsia="tr-TR"/>
        </w:rPr>
        <w:t xml:space="preserve">Diğer yandan trafik polisince düzenlenen "trafik ceza tutanağı" </w:t>
      </w:r>
      <w:proofErr w:type="spellStart"/>
      <w:r w:rsidRPr="0027665F">
        <w:rPr>
          <w:rFonts w:ascii="Times New Roman" w:eastAsia="Times New Roman" w:hAnsi="Times New Roman" w:cs="Times New Roman"/>
          <w:color w:val="000000"/>
          <w:sz w:val="24"/>
          <w:szCs w:val="26"/>
          <w:lang w:eastAsia="tr-TR"/>
        </w:rPr>
        <w:t>HUMK'nun</w:t>
      </w:r>
      <w:proofErr w:type="spellEnd"/>
      <w:r w:rsidRPr="0027665F">
        <w:rPr>
          <w:rFonts w:ascii="Times New Roman" w:eastAsia="Times New Roman" w:hAnsi="Times New Roman" w:cs="Times New Roman"/>
          <w:color w:val="000000"/>
          <w:sz w:val="24"/>
          <w:szCs w:val="26"/>
          <w:lang w:eastAsia="tr-TR"/>
        </w:rPr>
        <w:t xml:space="preserve"> 297. maddesi hükmü gereğince aksi sabit oluncaya kadar geçerli bir resmi belgedir. Bu özelliği gereği kesin delil niteliğindedir. Yani aksini kanıtlama yükümlülüğü suçlanan kişiye yüklenmiştir.</w:t>
      </w:r>
    </w:p>
    <w:p w:rsidR="0027665F" w:rsidRDefault="0027665F" w:rsidP="002766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665F">
        <w:rPr>
          <w:rFonts w:ascii="Times New Roman" w:eastAsia="Times New Roman" w:hAnsi="Times New Roman" w:cs="Times New Roman"/>
          <w:color w:val="000000"/>
          <w:sz w:val="24"/>
          <w:szCs w:val="26"/>
          <w:lang w:eastAsia="tr-TR"/>
        </w:rPr>
        <w:t>Oysa bu durumu, yargılama hukuku ilkelerine uymamaktadır. Yargılama hukukunda öncelikle olağan bir durumun aksini iddia eden bu iddiasını ispat ile yükümlüdür.</w:t>
      </w:r>
    </w:p>
    <w:p w:rsidR="0027665F" w:rsidRPr="0027665F" w:rsidRDefault="0027665F" w:rsidP="002766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665F">
        <w:rPr>
          <w:rFonts w:ascii="Times New Roman" w:eastAsia="Times New Roman" w:hAnsi="Times New Roman" w:cs="Times New Roman"/>
          <w:color w:val="000000"/>
          <w:sz w:val="24"/>
          <w:szCs w:val="26"/>
          <w:lang w:eastAsia="tr-TR"/>
        </w:rPr>
        <w:t>Bu yüzden 2918 sayılı Kanun'un 116. maddesinde yer alan "...ve sürücüsü tespit edilemeyen..." ile "...tescil plakalarına göre..." kelimeleri Anayasa'nın 38. maddesinin dört ve yedinci fıkralarına aykırı olup iptali gerekmektedir.""</w:t>
      </w:r>
    </w:p>
    <w:p w:rsidR="00CE1FB9" w:rsidRPr="0027665F" w:rsidRDefault="00CE1FB9" w:rsidP="0027665F">
      <w:pPr>
        <w:spacing w:before="100" w:beforeAutospacing="1" w:after="100" w:afterAutospacing="1" w:line="240" w:lineRule="auto"/>
        <w:ind w:firstLine="709"/>
        <w:jc w:val="both"/>
        <w:rPr>
          <w:rFonts w:ascii="Times New Roman" w:hAnsi="Times New Roman" w:cs="Times New Roman"/>
          <w:sz w:val="24"/>
        </w:rPr>
      </w:pPr>
    </w:p>
    <w:sectPr w:rsidR="00CE1FB9" w:rsidRPr="0027665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DF3" w:rsidRDefault="00233DF3" w:rsidP="0027665F">
      <w:pPr>
        <w:spacing w:after="0" w:line="240" w:lineRule="auto"/>
      </w:pPr>
      <w:r>
        <w:separator/>
      </w:r>
    </w:p>
  </w:endnote>
  <w:endnote w:type="continuationSeparator" w:id="0">
    <w:p w:rsidR="00233DF3" w:rsidRDefault="00233DF3" w:rsidP="0027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65F" w:rsidRDefault="0027665F" w:rsidP="00497C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665F" w:rsidRDefault="0027665F" w:rsidP="002766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65F" w:rsidRPr="0027665F" w:rsidRDefault="0027665F" w:rsidP="00497CF3">
    <w:pPr>
      <w:pStyle w:val="Altbilgi"/>
      <w:framePr w:wrap="around" w:vAnchor="text" w:hAnchor="margin" w:xAlign="right" w:y="1"/>
      <w:rPr>
        <w:rStyle w:val="SayfaNumaras"/>
        <w:rFonts w:ascii="Times New Roman" w:hAnsi="Times New Roman" w:cs="Times New Roman"/>
      </w:rPr>
    </w:pPr>
    <w:r w:rsidRPr="0027665F">
      <w:rPr>
        <w:rStyle w:val="SayfaNumaras"/>
        <w:rFonts w:ascii="Times New Roman" w:hAnsi="Times New Roman" w:cs="Times New Roman"/>
      </w:rPr>
      <w:fldChar w:fldCharType="begin"/>
    </w:r>
    <w:r w:rsidRPr="0027665F">
      <w:rPr>
        <w:rStyle w:val="SayfaNumaras"/>
        <w:rFonts w:ascii="Times New Roman" w:hAnsi="Times New Roman" w:cs="Times New Roman"/>
      </w:rPr>
      <w:instrText xml:space="preserve">PAGE  </w:instrText>
    </w:r>
    <w:r w:rsidRPr="0027665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7665F">
      <w:rPr>
        <w:rStyle w:val="SayfaNumaras"/>
        <w:rFonts w:ascii="Times New Roman" w:hAnsi="Times New Roman" w:cs="Times New Roman"/>
      </w:rPr>
      <w:fldChar w:fldCharType="end"/>
    </w:r>
  </w:p>
  <w:p w:rsidR="0027665F" w:rsidRPr="0027665F" w:rsidRDefault="0027665F" w:rsidP="0027665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DF3" w:rsidRDefault="00233DF3" w:rsidP="0027665F">
      <w:pPr>
        <w:spacing w:after="0" w:line="240" w:lineRule="auto"/>
      </w:pPr>
      <w:r>
        <w:separator/>
      </w:r>
    </w:p>
  </w:footnote>
  <w:footnote w:type="continuationSeparator" w:id="0">
    <w:p w:rsidR="00233DF3" w:rsidRDefault="00233DF3" w:rsidP="00276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65F" w:rsidRPr="00CB5A65" w:rsidRDefault="0027665F" w:rsidP="0027665F">
    <w:pPr>
      <w:spacing w:after="0" w:line="240" w:lineRule="auto"/>
      <w:jc w:val="both"/>
      <w:rPr>
        <w:rFonts w:ascii="Times New Roman" w:eastAsia="Times New Roman" w:hAnsi="Times New Roman" w:cs="Times New Roman"/>
        <w:b/>
        <w:color w:val="000000"/>
        <w:sz w:val="24"/>
        <w:szCs w:val="24"/>
        <w:lang w:eastAsia="tr-TR"/>
      </w:rPr>
    </w:pPr>
    <w:r w:rsidRPr="00CB5A65">
      <w:rPr>
        <w:rFonts w:ascii="Times New Roman" w:eastAsia="Times New Roman" w:hAnsi="Times New Roman" w:cs="Times New Roman"/>
        <w:b/>
        <w:bCs/>
        <w:color w:val="000000"/>
        <w:sz w:val="24"/>
        <w:szCs w:val="26"/>
        <w:lang w:eastAsia="tr-TR"/>
      </w:rPr>
      <w:t xml:space="preserve">Esas </w:t>
    </w:r>
    <w:proofErr w:type="gramStart"/>
    <w:r w:rsidRPr="00CB5A65">
      <w:rPr>
        <w:rFonts w:ascii="Times New Roman" w:eastAsia="Times New Roman" w:hAnsi="Times New Roman" w:cs="Times New Roman"/>
        <w:b/>
        <w:bCs/>
        <w:color w:val="000000"/>
        <w:sz w:val="24"/>
        <w:szCs w:val="26"/>
        <w:lang w:eastAsia="tr-TR"/>
      </w:rPr>
      <w:t>Sayısı : 2004</w:t>
    </w:r>
    <w:proofErr w:type="gramEnd"/>
    <w:r w:rsidRPr="00CB5A65">
      <w:rPr>
        <w:rFonts w:ascii="Times New Roman" w:eastAsia="Times New Roman" w:hAnsi="Times New Roman" w:cs="Times New Roman"/>
        <w:b/>
        <w:bCs/>
        <w:color w:val="000000"/>
        <w:sz w:val="24"/>
        <w:szCs w:val="26"/>
        <w:lang w:eastAsia="tr-TR"/>
      </w:rPr>
      <w:t>/116</w:t>
    </w:r>
  </w:p>
  <w:p w:rsidR="0027665F" w:rsidRPr="00CB5A65" w:rsidRDefault="0027665F" w:rsidP="0027665F">
    <w:pPr>
      <w:spacing w:after="0" w:line="240" w:lineRule="auto"/>
      <w:jc w:val="both"/>
      <w:rPr>
        <w:rFonts w:ascii="Times New Roman" w:eastAsia="Times New Roman" w:hAnsi="Times New Roman" w:cs="Times New Roman"/>
        <w:b/>
        <w:color w:val="000000"/>
        <w:sz w:val="24"/>
        <w:szCs w:val="24"/>
        <w:lang w:eastAsia="tr-TR"/>
      </w:rPr>
    </w:pPr>
    <w:r w:rsidRPr="00CB5A65">
      <w:rPr>
        <w:rFonts w:ascii="Times New Roman" w:eastAsia="Times New Roman" w:hAnsi="Times New Roman" w:cs="Times New Roman"/>
        <w:b/>
        <w:bCs/>
        <w:color w:val="000000"/>
        <w:sz w:val="24"/>
        <w:szCs w:val="26"/>
        <w:lang w:eastAsia="tr-TR"/>
      </w:rPr>
      <w:t xml:space="preserve">Karar </w:t>
    </w:r>
    <w:proofErr w:type="gramStart"/>
    <w:r w:rsidRPr="00CB5A65">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CB5A65">
      <w:rPr>
        <w:rFonts w:ascii="Times New Roman" w:eastAsia="Times New Roman" w:hAnsi="Times New Roman" w:cs="Times New Roman"/>
        <w:b/>
        <w:bCs/>
        <w:color w:val="000000"/>
        <w:sz w:val="24"/>
        <w:szCs w:val="26"/>
        <w:lang w:eastAsia="tr-TR"/>
      </w:rPr>
      <w:t>: 2008</w:t>
    </w:r>
    <w:proofErr w:type="gramEnd"/>
    <w:r w:rsidRPr="00CB5A65">
      <w:rPr>
        <w:rFonts w:ascii="Times New Roman" w:eastAsia="Times New Roman" w:hAnsi="Times New Roman" w:cs="Times New Roman"/>
        <w:b/>
        <w:bCs/>
        <w:color w:val="000000"/>
        <w:sz w:val="24"/>
        <w:szCs w:val="26"/>
        <w:lang w:eastAsia="tr-TR"/>
      </w:rPr>
      <w:t>/74</w:t>
    </w:r>
  </w:p>
  <w:p w:rsidR="0027665F" w:rsidRPr="0027665F" w:rsidRDefault="0027665F" w:rsidP="002766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5F"/>
    <w:rsid w:val="00233DF3"/>
    <w:rsid w:val="0027665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67142-4132-4B5A-AC6D-903C9A6D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66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665F"/>
  </w:style>
  <w:style w:type="paragraph" w:styleId="Altbilgi">
    <w:name w:val="footer"/>
    <w:basedOn w:val="Normal"/>
    <w:link w:val="AltbilgiChar"/>
    <w:uiPriority w:val="99"/>
    <w:unhideWhenUsed/>
    <w:rsid w:val="002766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665F"/>
  </w:style>
  <w:style w:type="character" w:styleId="SayfaNumaras">
    <w:name w:val="page number"/>
    <w:basedOn w:val="VarsaylanParagrafYazTipi"/>
    <w:uiPriority w:val="99"/>
    <w:semiHidden/>
    <w:unhideWhenUsed/>
    <w:rsid w:val="0027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2019-01-29T06:21:00Z</dcterms:created>
  <dcterms:modified xsi:type="dcterms:W3CDTF">2019-01-29T06:22:00Z</dcterms:modified>
</cp:coreProperties>
</file>