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7A" w:rsidRPr="00EF7F7A" w:rsidRDefault="00EF7F7A" w:rsidP="00EF7F7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EF7F7A">
        <w:rPr>
          <w:rFonts w:ascii="Times New Roman" w:eastAsia="Times New Roman" w:hAnsi="Times New Roman" w:cs="Times New Roman"/>
          <w:b/>
          <w:bCs/>
          <w:color w:val="000000"/>
          <w:sz w:val="24"/>
          <w:szCs w:val="26"/>
          <w:lang w:eastAsia="tr-TR"/>
        </w:rPr>
        <w:t>"...</w:t>
      </w:r>
    </w:p>
    <w:p w:rsidR="00EF7F7A" w:rsidRDefault="00EF7F7A" w:rsidP="00EF7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7F7A">
        <w:rPr>
          <w:rFonts w:ascii="Times New Roman" w:eastAsia="Times New Roman" w:hAnsi="Times New Roman" w:cs="Times New Roman"/>
          <w:b/>
          <w:bCs/>
          <w:color w:val="000000"/>
          <w:sz w:val="24"/>
          <w:szCs w:val="26"/>
          <w:lang w:eastAsia="tr-TR"/>
        </w:rPr>
        <w:t>II- İTİRAZIN GEREKÇESİ</w:t>
      </w:r>
    </w:p>
    <w:p w:rsidR="00EF7F7A" w:rsidRDefault="00EF7F7A" w:rsidP="00EF7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7F7A">
        <w:rPr>
          <w:rFonts w:ascii="Times New Roman" w:eastAsia="Times New Roman" w:hAnsi="Times New Roman" w:cs="Times New Roman"/>
          <w:color w:val="000000"/>
          <w:sz w:val="24"/>
          <w:szCs w:val="26"/>
          <w:lang w:eastAsia="tr-TR"/>
        </w:rPr>
        <w:t>Başvuru kararının gerekçe bölümü şöyledir:</w:t>
      </w:r>
    </w:p>
    <w:p w:rsidR="00EF7F7A" w:rsidRDefault="00EF7F7A" w:rsidP="00EF7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7F7A">
        <w:rPr>
          <w:rFonts w:ascii="Times New Roman" w:eastAsia="Times New Roman" w:hAnsi="Times New Roman" w:cs="Times New Roman"/>
          <w:color w:val="000000"/>
          <w:sz w:val="24"/>
          <w:szCs w:val="26"/>
          <w:lang w:eastAsia="tr-TR"/>
        </w:rPr>
        <w:t>'İptali istenen taşınmazların tapulu olduğu, bu tapuların devletin yetkili organlarınca yetkileri dâhilinde düzenlenerek tapuya davalı özel şahıslar adına kaydedildiği noktasında bir ihtilaf bulunmamaktadır. Davalılar adına devletin yetkili organlarınca oluşturulan bu kayda rağmen yine yürütme organlarınca bu tapuların bu kez kıyı kenar çizgisi içerisinde kaldığından bahisle iptalinin istenmesi Anayasanın 35. maddesinde düzenlenen mülkiyet hakkına açıkça aykırılık teşkil etmektedir. Aynı şekilde bu şekilde yapılacak bir iptal Avrupa İnsan Hakları Sözleşmesinin ek protokol 1. maddesinde düzenlenen mülkiyet haklarının da ihlali sonucunu doğuracaktır. Böyle bir halde davalı tarafların Avrupa İnsan Haklarına Mahkemesine başvurusu halinde belirtilen maddenin ihlali nedeni ile ülkemizin tazminatla sorumlu tutulacağı Ek Protokol 1. maddenin açıklığı karşısında izahtan varestedir. Ülkenin bu şekilde bu tip davalarla mahkûm edilmesi Avrupa ülkeleri nezdinde ülkemizin itibarını kaybetmesine neden olmaktadır.</w:t>
      </w:r>
    </w:p>
    <w:p w:rsidR="00EF7F7A" w:rsidRDefault="00EF7F7A" w:rsidP="00EF7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7F7A">
        <w:rPr>
          <w:rFonts w:ascii="Times New Roman" w:eastAsia="Times New Roman" w:hAnsi="Times New Roman" w:cs="Times New Roman"/>
          <w:color w:val="000000"/>
          <w:sz w:val="24"/>
          <w:szCs w:val="26"/>
          <w:lang w:eastAsia="tr-TR"/>
        </w:rPr>
        <w:t>MK'nun 1023 maddesine göre tapuda malik olarak gözüken kişinin gerçekte tapu maliki olmaması halinde dahi 3. kişinin tapuda kayıtlı olan malikin bu durumunu bilmeden iyi niyetli olarak bu tapuyu iktisap etmesi halinde dahi iyi niyeti korunarak tapudaki malikliği geçerli olmaktadır. Bu halde gerçek tapu malikinin MK' nun 1007.maddesi gereğince devlete başvurarak zararlarını isteme hakkı olduğu halde bizzat tapunun iptalini isteyememektedir. Bu düzenlemede Anayasanın 35. maddesinde düzenlenen mülkiyet hakkına dayanmaktadır. Mahkememize açılan dava dosyasında davalı taraflara dava konusu yerin kendilerine ait olduğuna ilişkin tapu kaydı devletin yetkili organlarınca verilmiştir. Bir kısım tapuların bu kayda istinaden ilk malikleri tarafından davalı taraflara da devredildiği anlaşılmaktadır. Yukarıda örneklenen halde iyi niyetli 3. kişinin iktisabı korunurken mahkememize açılan dava dosyasında böyle bir iyi niyet korunmamaktadır. Oysa ki davalı taraflar devletin kendilerine vermiş olduğu tapuya güvenerek işlem yapmakta mülkiyet hakkının kendilerine verdiği hakları kullanarak bu taşınmazlar üzerinde bina yapmakta, yerleşmekte ve bu kullanımları bir çok dava dosyasında görüleceği üzere uzun yıllar boyu sürmektedir. Vatandaşların yıllar boyu süren bu kullanımlarına rağmen açılan bu tip davalarla tapuları iptal edilmekte, bu durum ise toplum içerisinde bir karışıklığa sebebiyet vermektedir. Kanunlar toplumda düzenin sağlanması için yürürlüğe konulmaktadır. Oysa ki verilen tapulara rağmen bu tapuların yine yürütme organlarınca yıllar süren iyi niyetli kullanmaya rağmen iptalinin istenmesi ülke vatandaşları arasında büyük sıkıntılara sebebiyet vermekte, vatandaşın devlete olan güveninin azalmasına sebebiyet vermektedir.</w:t>
      </w:r>
    </w:p>
    <w:p w:rsidR="00EF7F7A" w:rsidRDefault="00EF7F7A" w:rsidP="00EF7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7F7A">
        <w:rPr>
          <w:rFonts w:ascii="Times New Roman" w:eastAsia="Times New Roman" w:hAnsi="Times New Roman" w:cs="Times New Roman"/>
          <w:color w:val="000000"/>
          <w:sz w:val="24"/>
          <w:szCs w:val="26"/>
          <w:lang w:eastAsia="tr-TR"/>
        </w:rPr>
        <w:t>Anayasanın 43. maddesi gereği pek tabi ki kıyılar devletin hüküm ve tasarrufu altında bulunmaktadır ve tüm toplumun yararlanmasına açık halde bırakılması gerekmektedir. Ancak bir şekilde devletin yetkili organlarınca gerek ihmal, gerekse yeterli araştırma yapılmaması nedeni ile bu tip yerlerin tapu verilerek özel şahıslar adına tapulanması ve bu işlemin kesinleşmesi halinde yürütme organları ancak tazminatını vererek başka bir deyişle kamulaştırarak bu tapuların iptalini isteyebilir. Aksi hal devlet ciddiyeti ile bağdaşmadığı gibi toplum içerisinde kişilerin devlete olan güvenini de sarsmaktadır.</w:t>
      </w:r>
    </w:p>
    <w:p w:rsidR="00EF7F7A" w:rsidRDefault="00EF7F7A" w:rsidP="00EF7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7F7A">
        <w:rPr>
          <w:rFonts w:ascii="Times New Roman" w:eastAsia="Times New Roman" w:hAnsi="Times New Roman" w:cs="Times New Roman"/>
          <w:color w:val="000000"/>
          <w:sz w:val="24"/>
          <w:szCs w:val="26"/>
          <w:lang w:eastAsia="tr-TR"/>
        </w:rPr>
        <w:t>SONUÇ:</w:t>
      </w:r>
    </w:p>
    <w:p w:rsidR="00EF7F7A" w:rsidRPr="00EF7F7A" w:rsidRDefault="00EF7F7A" w:rsidP="00EF7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7F7A">
        <w:rPr>
          <w:rFonts w:ascii="Times New Roman" w:eastAsia="Times New Roman" w:hAnsi="Times New Roman" w:cs="Times New Roman"/>
          <w:color w:val="000000"/>
          <w:sz w:val="24"/>
          <w:szCs w:val="26"/>
          <w:lang w:eastAsia="tr-TR"/>
        </w:rPr>
        <w:lastRenderedPageBreak/>
        <w:t>Yukarıda açıklanan tüm bu nedenlerle açıkça anlaşılacağı üzere 3621 Sayılı Kıyı Kanunun 5/2. maddesinin uygulanmasının Anayasanın 35 ve Avrupa İnsan Hakları Sözleşmesinin ek protokol 1. maddesine aykırı olduğu belirlendiğinden Kıyı Kanunun 5/2. maddesinin Yüksek Mahkemenizce resen yapılacak araştırma sırasında belirlenebilecek diğer nedenlerle iptaline karar verilmesi talep olunur.'"</w:t>
      </w:r>
    </w:p>
    <w:p w:rsidR="00CE1FB9" w:rsidRPr="00EF7F7A" w:rsidRDefault="00CE1FB9" w:rsidP="00EF7F7A">
      <w:pPr>
        <w:spacing w:before="100" w:beforeAutospacing="1" w:after="100" w:afterAutospacing="1" w:line="240" w:lineRule="auto"/>
        <w:ind w:firstLine="709"/>
        <w:jc w:val="both"/>
        <w:rPr>
          <w:rFonts w:ascii="Times New Roman" w:hAnsi="Times New Roman" w:cs="Times New Roman"/>
          <w:sz w:val="24"/>
        </w:rPr>
      </w:pPr>
    </w:p>
    <w:sectPr w:rsidR="00CE1FB9" w:rsidRPr="00EF7F7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14B" w:rsidRDefault="006F514B" w:rsidP="00EF7F7A">
      <w:pPr>
        <w:spacing w:after="0" w:line="240" w:lineRule="auto"/>
      </w:pPr>
      <w:r>
        <w:separator/>
      </w:r>
    </w:p>
  </w:endnote>
  <w:endnote w:type="continuationSeparator" w:id="0">
    <w:p w:rsidR="006F514B" w:rsidRDefault="006F514B" w:rsidP="00EF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7A" w:rsidRDefault="00EF7F7A" w:rsidP="006E35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7F7A" w:rsidRDefault="00EF7F7A" w:rsidP="00EF7F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7A" w:rsidRPr="00EF7F7A" w:rsidRDefault="00EF7F7A" w:rsidP="006E35F0">
    <w:pPr>
      <w:pStyle w:val="Altbilgi"/>
      <w:framePr w:wrap="around" w:vAnchor="text" w:hAnchor="margin" w:xAlign="right" w:y="1"/>
      <w:rPr>
        <w:rStyle w:val="SayfaNumaras"/>
        <w:rFonts w:ascii="Times New Roman" w:hAnsi="Times New Roman" w:cs="Times New Roman"/>
      </w:rPr>
    </w:pPr>
    <w:r w:rsidRPr="00EF7F7A">
      <w:rPr>
        <w:rStyle w:val="SayfaNumaras"/>
        <w:rFonts w:ascii="Times New Roman" w:hAnsi="Times New Roman" w:cs="Times New Roman"/>
      </w:rPr>
      <w:fldChar w:fldCharType="begin"/>
    </w:r>
    <w:r w:rsidRPr="00EF7F7A">
      <w:rPr>
        <w:rStyle w:val="SayfaNumaras"/>
        <w:rFonts w:ascii="Times New Roman" w:hAnsi="Times New Roman" w:cs="Times New Roman"/>
      </w:rPr>
      <w:instrText xml:space="preserve">PAGE  </w:instrText>
    </w:r>
    <w:r w:rsidRPr="00EF7F7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F7F7A">
      <w:rPr>
        <w:rStyle w:val="SayfaNumaras"/>
        <w:rFonts w:ascii="Times New Roman" w:hAnsi="Times New Roman" w:cs="Times New Roman"/>
      </w:rPr>
      <w:fldChar w:fldCharType="end"/>
    </w:r>
  </w:p>
  <w:p w:rsidR="00EF7F7A" w:rsidRPr="00EF7F7A" w:rsidRDefault="00EF7F7A" w:rsidP="00EF7F7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14B" w:rsidRDefault="006F514B" w:rsidP="00EF7F7A">
      <w:pPr>
        <w:spacing w:after="0" w:line="240" w:lineRule="auto"/>
      </w:pPr>
      <w:r>
        <w:separator/>
      </w:r>
    </w:p>
  </w:footnote>
  <w:footnote w:type="continuationSeparator" w:id="0">
    <w:p w:rsidR="006F514B" w:rsidRDefault="006F514B" w:rsidP="00EF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7A" w:rsidRPr="008220E3" w:rsidRDefault="00EF7F7A" w:rsidP="00EF7F7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20E3">
      <w:rPr>
        <w:rFonts w:ascii="Times New Roman" w:eastAsia="Times New Roman" w:hAnsi="Times New Roman" w:cs="Times New Roman"/>
        <w:b/>
        <w:bCs/>
        <w:color w:val="000000"/>
        <w:spacing w:val="-2"/>
        <w:sz w:val="24"/>
        <w:szCs w:val="26"/>
        <w:lang w:eastAsia="tr-TR"/>
      </w:rPr>
      <w:t>Esas Sayısı : 2008/26</w:t>
    </w:r>
  </w:p>
  <w:p w:rsidR="00EF7F7A" w:rsidRPr="008220E3" w:rsidRDefault="00EF7F7A" w:rsidP="00EF7F7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20E3">
      <w:rPr>
        <w:rFonts w:ascii="Times New Roman" w:eastAsia="Times New Roman" w:hAnsi="Times New Roman" w:cs="Times New Roman"/>
        <w:b/>
        <w:bCs/>
        <w:color w:val="000000"/>
        <w:spacing w:val="-2"/>
        <w:sz w:val="24"/>
        <w:szCs w:val="26"/>
        <w:lang w:eastAsia="tr-TR"/>
      </w:rPr>
      <w:t>Karar Sayısı : 2008/147</w:t>
    </w:r>
  </w:p>
  <w:p w:rsidR="00EF7F7A" w:rsidRPr="00EF7F7A" w:rsidRDefault="00EF7F7A" w:rsidP="00EF7F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7A"/>
    <w:rsid w:val="006F514B"/>
    <w:rsid w:val="00CE1FB9"/>
    <w:rsid w:val="00EF7F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49D46-A816-4F9A-BB38-D49718EF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EF7F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F7F7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7F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7F7A"/>
  </w:style>
  <w:style w:type="paragraph" w:styleId="Altbilgi">
    <w:name w:val="footer"/>
    <w:basedOn w:val="Normal"/>
    <w:link w:val="AltbilgiChar"/>
    <w:uiPriority w:val="99"/>
    <w:unhideWhenUsed/>
    <w:rsid w:val="00EF7F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7F7A"/>
  </w:style>
  <w:style w:type="character" w:styleId="SayfaNumaras">
    <w:name w:val="page number"/>
    <w:basedOn w:val="VarsaylanParagrafYazTipi"/>
    <w:uiPriority w:val="99"/>
    <w:semiHidden/>
    <w:unhideWhenUsed/>
    <w:rsid w:val="00EF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2019-01-28T06:23:00Z</dcterms:created>
  <dcterms:modified xsi:type="dcterms:W3CDTF">2019-01-28T06:25:00Z</dcterms:modified>
</cp:coreProperties>
</file>