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2D" w:rsidRPr="0025422D" w:rsidRDefault="0025422D" w:rsidP="0025422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422D">
        <w:rPr>
          <w:rFonts w:ascii="Times New Roman" w:eastAsia="Times New Roman" w:hAnsi="Times New Roman" w:cs="Times New Roman"/>
          <w:b/>
          <w:bCs/>
          <w:color w:val="000000"/>
          <w:sz w:val="24"/>
          <w:szCs w:val="26"/>
          <w:lang w:eastAsia="tr-TR"/>
        </w:rPr>
        <w:t>"...</w:t>
      </w:r>
      <w:bookmarkStart w:id="0" w:name="_GoBack"/>
      <w:bookmarkEnd w:id="0"/>
    </w:p>
    <w:p w:rsidR="0025422D" w:rsidRDefault="0025422D" w:rsidP="002542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b/>
          <w:bCs/>
          <w:color w:val="000000"/>
          <w:sz w:val="24"/>
          <w:szCs w:val="26"/>
          <w:lang w:eastAsia="tr-TR"/>
        </w:rPr>
        <w:t>II- İTİRAZIN GEREKÇESİ</w:t>
      </w:r>
    </w:p>
    <w:p w:rsidR="0025422D" w:rsidRDefault="0025422D" w:rsidP="0025422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t>Başvuru kararının gerekçe bölümü şöyledir:</w:t>
      </w:r>
    </w:p>
    <w:p w:rsidR="0025422D" w:rsidRDefault="0025422D" w:rsidP="002542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t>"Anayasa Mahkemesinin 27.9.1967 tarih ve E:1963/336, K:1967/29 sayılı kararında insan hak ve özgürlüklerine saygı gösteren, ferdin huzur ve refahını gerçekleştiren ve teminat altına alan, kişiyle toplum arasında denge kuran, emek sermaye ilişkilerini dengeli olarak düzenleyen, özel teşebbüsün güvenlik ve kararlılık içinde çalışmasını sağlayan, çalışanların insanca yaşaması ve çalışma hayatının kararlılık içinde gelişmesi için sosyal, ekonomik ve mali önlemler alarak çalışanları koruyan, işsizliği önleyici ve milli gelirin, adalete uygun biçimde dağılmasını sağlayıcı önlemler alan adaletli bir hukuk düzeni kuran ve bunu devam ettirmeye kendini yükümlü sayan, hukuka bağlı, kararlılık içinde ve gerçekçi bir özgürlük rejimini sağlayan devlet, demokratik sosyal hukuk devleti olarak tanımlanmıştır.</w:t>
      </w:r>
    </w:p>
    <w:p w:rsidR="0025422D" w:rsidRDefault="0025422D" w:rsidP="002542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t>Sosyal devlet ilkesi uyarınca devlet ferdin huzur ve refahını, özürlülerin korunmasını, eski hükümlülerin topluma kazandırılmasını sağlayıcı tedbirleri bizzat almakla yükümlü olduğu gibi, özel teşebbüsünde serbest rekabet ortamı içinde güvenlik ve kararlılık içinde çalışmasını sağlayıcı tedbirleri almakla yükümlüdür.Temel amacı serbest rekabet ortamı içinde, herhangi bir devlet garantisi olmaksızın karlı bir şekilde ticari faaliyet yapmak olan özel teşebbüse bizzat devletin yapmakla görevli olduğu özürlü ve eski hükümlü çalıştırma yükümlülüğünün yüklenmesinde ve cezai müeyyide uygulanmasında Anayasanın 2. maddesinde ifade edilen sosyal devlet ilkesine uyarlık bulunmamaktadır.</w:t>
      </w:r>
    </w:p>
    <w:p w:rsidR="0025422D" w:rsidRDefault="0025422D" w:rsidP="002542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t>Anayasanın 48. maddesinde özel teşebbüsler kurmanın serbest olduğu ve sözleşme serbestisi bulunduğu 18. maddesinde de, angaryanın yasak olduğu belirtilmesine rağmen, özel teşebbüsün sözleşme serbestisi elinden alınarak, zorunlu olarak, iş yerinde verimli olamayacak, işveren açısından çalışma hayatına ve ticari işletmenin verimliliğine katkısı bulunamayacak özürlü ve eski hükümlü çalıştırma zorunda bırakılması Anayasanın 48. maddesine aykırılık teşkil ettiği gibi, kişinin istemediği kişiyle çalışmak zorunda bırakılarak maaş ödeme yükümlüğü yüklenmesi de dolaylı olarak angarya yasağı kapsamında değerlendirileceğinden Anayasanın 18.maddesine de aykırılık teşkil etmektedir.</w:t>
      </w:r>
    </w:p>
    <w:p w:rsidR="0025422D" w:rsidRDefault="0025422D" w:rsidP="002542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t>Sosyal hukuk devletinin Anayasa tarafından yüklenen sorumluluklarını yerine getirmek için gerekli kaynağı yine Anayasada belirtilen ölçü ve yöntemler kullanılarak vergi yoluyla elde edeceği, sosyal harcamalara ayrılan kaynakların yetersiz olması halinde sorumluluğun devri yerine, halkın bu giderlere katılımının özendirilmesi şeklinde yapılması hukuk devletinin gereklerindendir.</w:t>
      </w:r>
    </w:p>
    <w:p w:rsidR="0025422D" w:rsidRDefault="0025422D" w:rsidP="002542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t>Özürlü, eski hükümlü ve terör mağdurlarının korunması, rehabilitasyonu, topluma kazandırılması, istihdamı ve insan onuruna yakışır bir hayat seviyesine kavuşturulması, Anayasanın 61. maddesi ile bizzat devlete verilmiş bir görev olduğundan, bu ödevin 4857 sayılı yasanın 30. maddesi ile amacı karlılık olan özel teşebbüse orantısız bir şekilde yüklenmesinde Anayasanın 61. maddesine uyarlılık bulunmamaktadır.</w:t>
      </w:r>
    </w:p>
    <w:p w:rsidR="0025422D" w:rsidRDefault="0025422D" w:rsidP="002542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t>Bu durumda, itiraz konusu olan 4857 sayılı yasanın 30.ve 101. maddesi sosyal hukuk devletinin gereklerine, angarya yasağı kuralına, sözleşme serbestisine ilişkin Anayasa hükümlerine aykırılık teşkil ettiği kanaatine ulaşılmıştır.</w:t>
      </w:r>
    </w:p>
    <w:p w:rsidR="0025422D" w:rsidRPr="0025422D" w:rsidRDefault="0025422D" w:rsidP="002542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422D">
        <w:rPr>
          <w:rFonts w:ascii="Times New Roman" w:eastAsia="Times New Roman" w:hAnsi="Times New Roman" w:cs="Times New Roman"/>
          <w:color w:val="000000"/>
          <w:sz w:val="24"/>
          <w:szCs w:val="26"/>
          <w:lang w:eastAsia="tr-TR"/>
        </w:rPr>
        <w:lastRenderedPageBreak/>
        <w:t>Açıklanan nedenlerle itiraz konusu 4857 sayılı yasanın 30. ve 101. maddelerinin Anayasanın 2, 18, 48 ve 61.maddelerine aykırı olduğu sonucuna varıldığından bu konuda karar verilmek üzere dava dosyasındaki belge örneklerinin Anayasa Mahkemesi'ne gönderilmesine, 27.12.2005 tarihinde oyçokluğuyla karar verildi.""</w:t>
      </w:r>
    </w:p>
    <w:p w:rsidR="00CE1FB9" w:rsidRPr="0025422D" w:rsidRDefault="00CE1FB9" w:rsidP="0025422D">
      <w:pPr>
        <w:spacing w:before="100" w:beforeAutospacing="1" w:after="100" w:afterAutospacing="1" w:line="240" w:lineRule="auto"/>
        <w:ind w:firstLine="709"/>
        <w:jc w:val="both"/>
        <w:rPr>
          <w:rFonts w:ascii="Times New Roman" w:hAnsi="Times New Roman" w:cs="Times New Roman"/>
          <w:sz w:val="24"/>
        </w:rPr>
      </w:pPr>
    </w:p>
    <w:sectPr w:rsidR="00CE1FB9" w:rsidRPr="0025422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B8" w:rsidRDefault="008209B8" w:rsidP="0025422D">
      <w:pPr>
        <w:spacing w:after="0" w:line="240" w:lineRule="auto"/>
      </w:pPr>
      <w:r>
        <w:separator/>
      </w:r>
    </w:p>
  </w:endnote>
  <w:endnote w:type="continuationSeparator" w:id="0">
    <w:p w:rsidR="008209B8" w:rsidRDefault="008209B8" w:rsidP="0025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2D" w:rsidRDefault="0025422D" w:rsidP="006868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422D" w:rsidRDefault="0025422D" w:rsidP="002542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2D" w:rsidRPr="0025422D" w:rsidRDefault="0025422D" w:rsidP="006868B9">
    <w:pPr>
      <w:pStyle w:val="Altbilgi"/>
      <w:framePr w:wrap="around" w:vAnchor="text" w:hAnchor="margin" w:xAlign="right" w:y="1"/>
      <w:rPr>
        <w:rStyle w:val="SayfaNumaras"/>
        <w:rFonts w:ascii="Times New Roman" w:hAnsi="Times New Roman" w:cs="Times New Roman"/>
      </w:rPr>
    </w:pPr>
    <w:r w:rsidRPr="0025422D">
      <w:rPr>
        <w:rStyle w:val="SayfaNumaras"/>
        <w:rFonts w:ascii="Times New Roman" w:hAnsi="Times New Roman" w:cs="Times New Roman"/>
      </w:rPr>
      <w:fldChar w:fldCharType="begin"/>
    </w:r>
    <w:r w:rsidRPr="0025422D">
      <w:rPr>
        <w:rStyle w:val="SayfaNumaras"/>
        <w:rFonts w:ascii="Times New Roman" w:hAnsi="Times New Roman" w:cs="Times New Roman"/>
      </w:rPr>
      <w:instrText xml:space="preserve">PAGE  </w:instrText>
    </w:r>
    <w:r w:rsidRPr="0025422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422D">
      <w:rPr>
        <w:rStyle w:val="SayfaNumaras"/>
        <w:rFonts w:ascii="Times New Roman" w:hAnsi="Times New Roman" w:cs="Times New Roman"/>
      </w:rPr>
      <w:fldChar w:fldCharType="end"/>
    </w:r>
  </w:p>
  <w:p w:rsidR="0025422D" w:rsidRPr="0025422D" w:rsidRDefault="0025422D" w:rsidP="0025422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B8" w:rsidRDefault="008209B8" w:rsidP="0025422D">
      <w:pPr>
        <w:spacing w:after="0" w:line="240" w:lineRule="auto"/>
      </w:pPr>
      <w:r>
        <w:separator/>
      </w:r>
    </w:p>
  </w:footnote>
  <w:footnote w:type="continuationSeparator" w:id="0">
    <w:p w:rsidR="008209B8" w:rsidRDefault="008209B8" w:rsidP="00254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2D" w:rsidRPr="003616C9" w:rsidRDefault="0025422D" w:rsidP="0025422D">
    <w:pPr>
      <w:spacing w:after="0" w:line="240" w:lineRule="auto"/>
      <w:jc w:val="both"/>
      <w:rPr>
        <w:rFonts w:ascii="Times New Roman" w:eastAsia="Times New Roman" w:hAnsi="Times New Roman" w:cs="Times New Roman"/>
        <w:b/>
        <w:color w:val="000000"/>
        <w:sz w:val="24"/>
        <w:szCs w:val="24"/>
        <w:lang w:eastAsia="tr-TR"/>
      </w:rPr>
    </w:pPr>
    <w:r w:rsidRPr="003616C9">
      <w:rPr>
        <w:rFonts w:ascii="Times New Roman" w:eastAsia="Times New Roman" w:hAnsi="Times New Roman" w:cs="Times New Roman"/>
        <w:b/>
        <w:bCs/>
        <w:color w:val="000000"/>
        <w:sz w:val="24"/>
        <w:szCs w:val="26"/>
        <w:lang w:eastAsia="tr-TR"/>
      </w:rPr>
      <w:t>Esas Sayısı     : 2006/101</w:t>
    </w:r>
  </w:p>
  <w:p w:rsidR="0025422D" w:rsidRPr="003616C9" w:rsidRDefault="0025422D" w:rsidP="0025422D">
    <w:pPr>
      <w:spacing w:after="0" w:line="240" w:lineRule="auto"/>
      <w:jc w:val="both"/>
      <w:rPr>
        <w:rFonts w:ascii="Times New Roman" w:eastAsia="Times New Roman" w:hAnsi="Times New Roman" w:cs="Times New Roman"/>
        <w:b/>
        <w:color w:val="000000"/>
        <w:sz w:val="24"/>
        <w:szCs w:val="24"/>
        <w:lang w:eastAsia="tr-TR"/>
      </w:rPr>
    </w:pPr>
    <w:r w:rsidRPr="003616C9">
      <w:rPr>
        <w:rFonts w:ascii="Times New Roman" w:eastAsia="Times New Roman" w:hAnsi="Times New Roman" w:cs="Times New Roman"/>
        <w:b/>
        <w:bCs/>
        <w:color w:val="000000"/>
        <w:sz w:val="24"/>
        <w:szCs w:val="26"/>
        <w:lang w:eastAsia="tr-TR"/>
      </w:rPr>
      <w:t>Karar Sayısı   : 2008/126</w:t>
    </w:r>
  </w:p>
  <w:p w:rsidR="0025422D" w:rsidRPr="0025422D" w:rsidRDefault="0025422D" w:rsidP="002542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2D"/>
    <w:rsid w:val="0025422D"/>
    <w:rsid w:val="008209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D2939-7789-49A6-A81B-8E9D803A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42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42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422D"/>
  </w:style>
  <w:style w:type="paragraph" w:styleId="Altbilgi">
    <w:name w:val="footer"/>
    <w:basedOn w:val="Normal"/>
    <w:link w:val="AltbilgiChar"/>
    <w:uiPriority w:val="99"/>
    <w:unhideWhenUsed/>
    <w:rsid w:val="002542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422D"/>
  </w:style>
  <w:style w:type="character" w:styleId="SayfaNumaras">
    <w:name w:val="page number"/>
    <w:basedOn w:val="VarsaylanParagrafYazTipi"/>
    <w:uiPriority w:val="99"/>
    <w:semiHidden/>
    <w:unhideWhenUsed/>
    <w:rsid w:val="0025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2019-01-24T11:37:00Z</dcterms:created>
  <dcterms:modified xsi:type="dcterms:W3CDTF">2019-01-24T11:38:00Z</dcterms:modified>
</cp:coreProperties>
</file>