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76" w:rsidRPr="00C45876" w:rsidRDefault="00C45876" w:rsidP="00C45876">
      <w:pPr>
        <w:pStyle w:val="western"/>
        <w:ind w:firstLine="709"/>
        <w:jc w:val="both"/>
        <w:rPr>
          <w:b/>
          <w:bCs/>
          <w:color w:val="000000"/>
          <w:szCs w:val="26"/>
        </w:rPr>
      </w:pPr>
      <w:r w:rsidRPr="00C45876">
        <w:rPr>
          <w:b/>
          <w:bCs/>
          <w:color w:val="000000"/>
          <w:szCs w:val="26"/>
        </w:rPr>
        <w:t>"...</w:t>
      </w:r>
    </w:p>
    <w:p w:rsidR="00C45876" w:rsidRDefault="00C45876" w:rsidP="00C45876">
      <w:pPr>
        <w:pStyle w:val="western"/>
        <w:ind w:firstLine="709"/>
        <w:jc w:val="both"/>
        <w:rPr>
          <w:color w:val="000000"/>
          <w:szCs w:val="27"/>
        </w:rPr>
      </w:pPr>
      <w:r w:rsidRPr="00C45876">
        <w:rPr>
          <w:b/>
          <w:bCs/>
          <w:color w:val="000000"/>
          <w:szCs w:val="26"/>
        </w:rPr>
        <w:t>II- İTİRAZLARIN GEREKÇELERİ</w:t>
      </w:r>
      <w:bookmarkStart w:id="0" w:name="_GoBack"/>
      <w:bookmarkEnd w:id="0"/>
    </w:p>
    <w:p w:rsidR="00C45876" w:rsidRPr="00C45876" w:rsidRDefault="00C45876" w:rsidP="00C45876">
      <w:pPr>
        <w:pStyle w:val="western"/>
        <w:ind w:firstLine="709"/>
        <w:jc w:val="both"/>
        <w:rPr>
          <w:color w:val="000000"/>
          <w:szCs w:val="27"/>
        </w:rPr>
      </w:pPr>
      <w:proofErr w:type="gramStart"/>
      <w:r w:rsidRPr="00C45876">
        <w:rPr>
          <w:color w:val="000000"/>
          <w:szCs w:val="26"/>
        </w:rPr>
        <w:t xml:space="preserve">İtiraz yoluna başvuran Mahkemelerin gerekçelerinde özetle, Anayasa'da temel hak ve özgürlüklere önem veren ve bunları güvenceye alan çağdaş anayasa anlayışına uygun değişikliklerin gerçekleştirilmeye çalışıldığı, yasa koyucunun temel hak ve özgürlüklerin sınırlandırılması konusunda takdir yetkisinin sınırsız olmadığı, İnsan Hakları Avrupa Mahkemesi kararlarında da hak ve özgürlüklere sahip olmanın kural, bunlara müdahalenin istisna olarak kabul edildiği, insan onurunu korumayı, maddi ve manevi gelişmesini sağlamayı amaçlayan hakların genel ifadesi olması nedeniyle insanların doğumla kazandıkları temel hakların ve toplumun bir bireyi olmaları sonucunda tanınan hak ve özgürlüklerin yeterince ve serbestçe kullanılmasının hukuk devletinin vazgeçilmez gereklerinden olduğu, topluma karşı kimi ödevlerin istenmesinin yerinde olmakla birlikte, bunların ilgili yasalarda gösterilen kurallara bağlı olarak eşit, adil, dengeli olması ve hukuk devleti ilkesinin gereklerine uygun biçimde istenilmesinin zorunlu olduğu, Anayasa'da genel sınırlama nedenlerinin kaldırıldığı, ilgili maddelerinde belirtilen özel sınırlama nedenlerinin ise Anayasa'nın sözüne ve ruhuna, demokratik toplum düzeninin ve lâik cumhuriyetin gereklerine ve ölçülülük ilkesine aykırı olamayacağı, Anayasa'nın 23. maddesinde “vatandaşlık ödevi” nedeniyle sınırlama yapılabileceğinin belirtildiği, Yasa'yla getirilen sınırlamanın vergi borcu bakımından açık ve net olmadığı, vergi ödevinin hangi aşamasında, hangi yetkililerce ve hangi ölçütlere göre yasak konulacağı belirtilmeksizin, yetersiz ve belirsiz bir ifadeyle sınır getirildiği, vergi yargılaması varsa bunun devam ettiği sürede de yasak konulması konusunda bir engel bulunmadığı, anayasal koruma altında bulunan yurt dışına çıkma özgürlüğünün soyut nitelikteki sınırlamalarla ihlal edildiği, yapılan sınırlamanın soyut, yetersiz ve ölçüsüz olduğu, ölçüsüzlük ilkesi uyarınca en ağır önlemleri almaya gerek kalmadan uygun yöntemlerle vergi borcunun tahsiline ilişkin araçların kullanılması suretiyle tahsilatın gerçekleştirilebileceği, bu konuda yasalarda gerekli ve elverişli araçların bulunduğu, daha hafif ve uygun yöntemler mevcut iken en ağır yöntemin seçilmesi sonucunda anayasal koruma altında bulunan temel hak ve özgürlüklerden olan seyahat özgürlüğünün kısıtlanmasını doğuracak biçimde yurt dışına çıkışın yasaklanmasında vergi borcunun tahsili amacı için aranan gereklilik, elverişlilik ve oranlılık unsurları bulunmadığından ölçülülük ilkesinin ihlal edildiği, vergi mevzuatı içinde vergi borcunun tahsili amacıyla elverişli araçların bulunduğu, bu konuda idareye gerekli ve elverişli araçların verildiği, yurt dışına çıkış yasağının amacını aşarak ülkenin ekonomik çıkarlarını zedelediği, ticari ilişkileri engellediği, Devletin kişinin temel hak ve özgürlüklerini kısıtlayan engelleri kaldırmakla görevliyken bunun aksi bir hüküm getirildiği, sınırlama için savaş, seferberlik, sıkıyönetim veya olağanüstü hal gibi nedenler de bulunmadığı, öte yandan banka kredi borcunun sözleşmeden doğan bir yükümlülük olduğu, özel hukuk ilişkisinden doğan </w:t>
      </w:r>
      <w:proofErr w:type="gramEnd"/>
      <w:r w:rsidRPr="00C45876">
        <w:rPr>
          <w:color w:val="000000"/>
          <w:szCs w:val="26"/>
        </w:rPr>
        <w:t>yükümlülüklerin, amme alacağı haline gelse bile “vatandaşlık ödevi” kapsamı içinde değerlendirilemeyeceği, ilgili İdare ve bankalara borçlunun ve borcun tespiti ve yurt dışına çıkış yasağı konulması konularında çerçevesi çizilmemiş geniş yetkiler verildiği, usul ve esaslar ile itiraz yollarının yasada gösterilmediği, alınan karardan ilgililerin haberdar edilmediği, bankaların alacakları konusunda da gerekli yasal yollarla yargı yolunun bulunduğu, ayrıca uygulamanın tüm bankalar için getirilmediği, sadece kamu bankaları için getirilerek kamu bankaları ile özel bankalar arasında eşitlik ilkesinin ihlal edildiği, bu nedenlerle başvuru konusu kuralların İnsan Hakları Avrupa Sözleşmesi'ne ve Anayasa'nın Başlangıç'ı ile 2</w:t>
      </w:r>
      <w:proofErr w:type="gramStart"/>
      <w:r w:rsidRPr="00C45876">
        <w:rPr>
          <w:color w:val="000000"/>
          <w:szCs w:val="26"/>
        </w:rPr>
        <w:t>.,</w:t>
      </w:r>
      <w:proofErr w:type="gramEnd"/>
      <w:r w:rsidRPr="00C45876">
        <w:rPr>
          <w:color w:val="000000"/>
          <w:szCs w:val="26"/>
        </w:rPr>
        <w:t xml:space="preserve"> 5., 6., 10., 13., 15., 23., 36., 38., 40., 48., 49., 73. ve 125. maddelerine aykırı olduğu ileri sürülmüştür.</w:t>
      </w:r>
      <w:r w:rsidRPr="00C45876">
        <w:rPr>
          <w:color w:val="000000"/>
          <w:szCs w:val="26"/>
        </w:rPr>
        <w:t>"</w:t>
      </w:r>
    </w:p>
    <w:p w:rsidR="00CE1FB9" w:rsidRPr="00C45876" w:rsidRDefault="00CE1FB9" w:rsidP="00C45876">
      <w:pPr>
        <w:spacing w:before="100" w:beforeAutospacing="1" w:after="100" w:afterAutospacing="1" w:line="240" w:lineRule="auto"/>
        <w:ind w:firstLine="709"/>
        <w:jc w:val="both"/>
        <w:rPr>
          <w:rFonts w:ascii="Times New Roman" w:hAnsi="Times New Roman" w:cs="Times New Roman"/>
          <w:sz w:val="24"/>
        </w:rPr>
      </w:pPr>
    </w:p>
    <w:sectPr w:rsidR="00CE1FB9" w:rsidRPr="00C4587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8D2" w:rsidRDefault="000518D2" w:rsidP="00C45876">
      <w:pPr>
        <w:spacing w:after="0" w:line="240" w:lineRule="auto"/>
      </w:pPr>
      <w:r>
        <w:separator/>
      </w:r>
    </w:p>
  </w:endnote>
  <w:endnote w:type="continuationSeparator" w:id="0">
    <w:p w:rsidR="000518D2" w:rsidRDefault="000518D2" w:rsidP="00C4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876" w:rsidRDefault="00C45876" w:rsidP="007F34F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45876" w:rsidRDefault="00C45876" w:rsidP="00C458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876" w:rsidRPr="00C45876" w:rsidRDefault="00C45876" w:rsidP="007F34FF">
    <w:pPr>
      <w:pStyle w:val="Altbilgi"/>
      <w:framePr w:wrap="around" w:vAnchor="text" w:hAnchor="margin" w:xAlign="right" w:y="1"/>
      <w:rPr>
        <w:rStyle w:val="SayfaNumaras"/>
        <w:rFonts w:ascii="Times New Roman" w:hAnsi="Times New Roman" w:cs="Times New Roman"/>
      </w:rPr>
    </w:pPr>
    <w:r w:rsidRPr="00C45876">
      <w:rPr>
        <w:rStyle w:val="SayfaNumaras"/>
        <w:rFonts w:ascii="Times New Roman" w:hAnsi="Times New Roman" w:cs="Times New Roman"/>
      </w:rPr>
      <w:fldChar w:fldCharType="begin"/>
    </w:r>
    <w:r w:rsidRPr="00C45876">
      <w:rPr>
        <w:rStyle w:val="SayfaNumaras"/>
        <w:rFonts w:ascii="Times New Roman" w:hAnsi="Times New Roman" w:cs="Times New Roman"/>
      </w:rPr>
      <w:instrText xml:space="preserve">PAGE  </w:instrText>
    </w:r>
    <w:r w:rsidRPr="00C4587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45876">
      <w:rPr>
        <w:rStyle w:val="SayfaNumaras"/>
        <w:rFonts w:ascii="Times New Roman" w:hAnsi="Times New Roman" w:cs="Times New Roman"/>
      </w:rPr>
      <w:fldChar w:fldCharType="end"/>
    </w:r>
  </w:p>
  <w:p w:rsidR="00C45876" w:rsidRPr="00C45876" w:rsidRDefault="00C45876" w:rsidP="00C4587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8D2" w:rsidRDefault="000518D2" w:rsidP="00C45876">
      <w:pPr>
        <w:spacing w:after="0" w:line="240" w:lineRule="auto"/>
      </w:pPr>
      <w:r>
        <w:separator/>
      </w:r>
    </w:p>
  </w:footnote>
  <w:footnote w:type="continuationSeparator" w:id="0">
    <w:p w:rsidR="000518D2" w:rsidRDefault="000518D2" w:rsidP="00C45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876" w:rsidRPr="007453DB" w:rsidRDefault="00C45876" w:rsidP="00C45876">
    <w:pPr>
      <w:spacing w:after="0" w:line="240" w:lineRule="auto"/>
      <w:jc w:val="both"/>
      <w:rPr>
        <w:rFonts w:ascii="Times New Roman" w:eastAsia="Times New Roman" w:hAnsi="Times New Roman" w:cs="Times New Roman"/>
        <w:b/>
        <w:color w:val="000000"/>
        <w:sz w:val="24"/>
        <w:szCs w:val="27"/>
        <w:lang w:eastAsia="tr-TR"/>
      </w:rPr>
    </w:pPr>
    <w:r w:rsidRPr="007453DB">
      <w:rPr>
        <w:rFonts w:ascii="Times New Roman" w:eastAsia="Times New Roman" w:hAnsi="Times New Roman" w:cs="Times New Roman"/>
        <w:b/>
        <w:bCs/>
        <w:color w:val="000000"/>
        <w:sz w:val="24"/>
        <w:szCs w:val="26"/>
        <w:lang w:eastAsia="tr-TR"/>
      </w:rPr>
      <w:t xml:space="preserve">Esas </w:t>
    </w:r>
    <w:proofErr w:type="gramStart"/>
    <w:r w:rsidRPr="007453DB">
      <w:rPr>
        <w:rFonts w:ascii="Times New Roman" w:eastAsia="Times New Roman" w:hAnsi="Times New Roman" w:cs="Times New Roman"/>
        <w:b/>
        <w:bCs/>
        <w:color w:val="000000"/>
        <w:sz w:val="24"/>
        <w:szCs w:val="26"/>
        <w:lang w:eastAsia="tr-TR"/>
      </w:rPr>
      <w:t>Sayısı : 2007</w:t>
    </w:r>
    <w:proofErr w:type="gramEnd"/>
    <w:r w:rsidRPr="007453DB">
      <w:rPr>
        <w:rFonts w:ascii="Times New Roman" w:eastAsia="Times New Roman" w:hAnsi="Times New Roman" w:cs="Times New Roman"/>
        <w:b/>
        <w:bCs/>
        <w:color w:val="000000"/>
        <w:sz w:val="24"/>
        <w:szCs w:val="26"/>
        <w:lang w:eastAsia="tr-TR"/>
      </w:rPr>
      <w:t>/4</w:t>
    </w:r>
  </w:p>
  <w:p w:rsidR="00C45876" w:rsidRPr="007453DB" w:rsidRDefault="00C45876" w:rsidP="00C45876">
    <w:pPr>
      <w:spacing w:after="0" w:line="240" w:lineRule="auto"/>
      <w:jc w:val="both"/>
      <w:rPr>
        <w:rFonts w:ascii="Times New Roman" w:eastAsia="Times New Roman" w:hAnsi="Times New Roman" w:cs="Times New Roman"/>
        <w:b/>
        <w:color w:val="000000"/>
        <w:sz w:val="24"/>
        <w:szCs w:val="27"/>
        <w:lang w:eastAsia="tr-TR"/>
      </w:rPr>
    </w:pPr>
    <w:r w:rsidRPr="007453DB">
      <w:rPr>
        <w:rFonts w:ascii="Times New Roman" w:eastAsia="Times New Roman" w:hAnsi="Times New Roman" w:cs="Times New Roman"/>
        <w:b/>
        <w:bCs/>
        <w:color w:val="000000"/>
        <w:sz w:val="24"/>
        <w:szCs w:val="26"/>
        <w:lang w:eastAsia="tr-TR"/>
      </w:rPr>
      <w:t xml:space="preserve">Karar </w:t>
    </w:r>
    <w:proofErr w:type="gramStart"/>
    <w:r w:rsidRPr="007453DB">
      <w:rPr>
        <w:rFonts w:ascii="Times New Roman" w:eastAsia="Times New Roman" w:hAnsi="Times New Roman" w:cs="Times New Roman"/>
        <w:b/>
        <w:bCs/>
        <w:color w:val="000000"/>
        <w:sz w:val="24"/>
        <w:szCs w:val="26"/>
        <w:lang w:eastAsia="tr-TR"/>
      </w:rPr>
      <w:t>Sayısı : 2007</w:t>
    </w:r>
    <w:proofErr w:type="gramEnd"/>
    <w:r w:rsidRPr="007453DB">
      <w:rPr>
        <w:rFonts w:ascii="Times New Roman" w:eastAsia="Times New Roman" w:hAnsi="Times New Roman" w:cs="Times New Roman"/>
        <w:b/>
        <w:bCs/>
        <w:color w:val="000000"/>
        <w:sz w:val="24"/>
        <w:szCs w:val="26"/>
        <w:lang w:eastAsia="tr-TR"/>
      </w:rPr>
      <w:t>/81</w:t>
    </w:r>
  </w:p>
  <w:p w:rsidR="00C45876" w:rsidRPr="00C45876" w:rsidRDefault="00C45876" w:rsidP="00C458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76"/>
    <w:rsid w:val="000518D2"/>
    <w:rsid w:val="00C4587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6F564-D8EC-440F-BDC0-86126CCF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C458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458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876"/>
  </w:style>
  <w:style w:type="paragraph" w:styleId="Altbilgi">
    <w:name w:val="footer"/>
    <w:basedOn w:val="Normal"/>
    <w:link w:val="AltbilgiChar"/>
    <w:uiPriority w:val="99"/>
    <w:unhideWhenUsed/>
    <w:rsid w:val="00C458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876"/>
  </w:style>
  <w:style w:type="character" w:styleId="SayfaNumaras">
    <w:name w:val="page number"/>
    <w:basedOn w:val="VarsaylanParagrafYazTipi"/>
    <w:uiPriority w:val="99"/>
    <w:semiHidden/>
    <w:unhideWhenUsed/>
    <w:rsid w:val="00C45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2019-01-23T10:45:00Z</dcterms:created>
  <dcterms:modified xsi:type="dcterms:W3CDTF">2019-01-23T10:46:00Z</dcterms:modified>
</cp:coreProperties>
</file>