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2C10" w:rsidRPr="00A02C10" w:rsidRDefault="00A02C10" w:rsidP="00A02C10">
      <w:pPr>
        <w:pStyle w:val="NormalWeb"/>
        <w:ind w:firstLine="709"/>
        <w:jc w:val="both"/>
        <w:rPr>
          <w:b/>
          <w:bCs/>
          <w:color w:val="000000"/>
          <w:szCs w:val="26"/>
        </w:rPr>
      </w:pPr>
      <w:r w:rsidRPr="00A02C10">
        <w:rPr>
          <w:b/>
          <w:bCs/>
          <w:color w:val="000000"/>
          <w:szCs w:val="26"/>
        </w:rPr>
        <w:t>"...</w:t>
      </w:r>
    </w:p>
    <w:p w:rsidR="00A02C10" w:rsidRDefault="00A02C10" w:rsidP="00A02C10">
      <w:pPr>
        <w:pStyle w:val="NormalWeb"/>
        <w:ind w:firstLine="709"/>
        <w:jc w:val="both"/>
        <w:rPr>
          <w:color w:val="000000"/>
          <w:szCs w:val="27"/>
        </w:rPr>
      </w:pPr>
      <w:r w:rsidRPr="00A02C10">
        <w:rPr>
          <w:b/>
          <w:bCs/>
          <w:color w:val="000000"/>
          <w:szCs w:val="26"/>
        </w:rPr>
        <w:t>II- İTİRAZIN GEREKÇESİ</w:t>
      </w:r>
      <w:bookmarkStart w:id="0" w:name="_GoBack"/>
      <w:bookmarkEnd w:id="0"/>
    </w:p>
    <w:p w:rsidR="00A02C10" w:rsidRDefault="00A02C10" w:rsidP="00A02C10">
      <w:pPr>
        <w:pStyle w:val="western"/>
        <w:ind w:firstLine="709"/>
        <w:jc w:val="both"/>
        <w:rPr>
          <w:color w:val="000000"/>
          <w:szCs w:val="20"/>
        </w:rPr>
      </w:pPr>
      <w:r w:rsidRPr="00A02C10">
        <w:rPr>
          <w:color w:val="000000"/>
          <w:szCs w:val="26"/>
        </w:rPr>
        <w:t>Başvuru kararının ilgili bölümleri şöyledir:</w:t>
      </w:r>
    </w:p>
    <w:p w:rsidR="00A02C10" w:rsidRDefault="00A02C10" w:rsidP="00A02C10">
      <w:pPr>
        <w:pStyle w:val="western"/>
        <w:ind w:firstLine="709"/>
        <w:jc w:val="both"/>
        <w:rPr>
          <w:color w:val="000000"/>
          <w:szCs w:val="20"/>
        </w:rPr>
      </w:pPr>
      <w:r w:rsidRPr="00A02C10">
        <w:rPr>
          <w:color w:val="000000"/>
          <w:szCs w:val="26"/>
        </w:rPr>
        <w:t>“...Anayasa, bir defa idari yargı ve adli yargı ayrımını benimseyip bu ayrımı yargı sisteminin odağına yerleştirdikten sonra, hangi tür yargısal uyuşmazlıkların adli, hangisinin idari yargının görev alanına gireceği konusunda anayasal bir belirleme yapılmadığı, bir ilke getirilmediği, dahası bu konuda belirleme yapmak üzere kanun koyucuya mutlak bir yetki verildiği düşünülemez.</w:t>
      </w:r>
    </w:p>
    <w:p w:rsidR="00A02C10" w:rsidRDefault="00A02C10" w:rsidP="00A02C10">
      <w:pPr>
        <w:pStyle w:val="western"/>
        <w:ind w:firstLine="709"/>
        <w:jc w:val="both"/>
        <w:rPr>
          <w:color w:val="000000"/>
          <w:szCs w:val="20"/>
        </w:rPr>
      </w:pPr>
      <w:r w:rsidRPr="00A02C10">
        <w:rPr>
          <w:color w:val="000000"/>
          <w:szCs w:val="26"/>
        </w:rPr>
        <w:t>...5326 sayılı Kabahatler Kanunu'nun 27 ve 28. maddeleri ile geçici 3. maddesi Anayasa'nın 2</w:t>
      </w:r>
      <w:proofErr w:type="gramStart"/>
      <w:r w:rsidRPr="00A02C10">
        <w:rPr>
          <w:color w:val="000000"/>
          <w:szCs w:val="26"/>
        </w:rPr>
        <w:t>.,</w:t>
      </w:r>
      <w:proofErr w:type="gramEnd"/>
      <w:r w:rsidRPr="00A02C10">
        <w:rPr>
          <w:color w:val="000000"/>
          <w:szCs w:val="26"/>
        </w:rPr>
        <w:t>125., 155. ve 157. maddelerine aykırı görüldüğünden bu konuda bir karar verilmesi için Anayasa'nın 152. maddesine göre Anayasa Mahkemesi'ne itiraz yoluna başvurulmasına,</w:t>
      </w:r>
    </w:p>
    <w:p w:rsidR="00A02C10" w:rsidRPr="00A02C10" w:rsidRDefault="00A02C10" w:rsidP="00A02C10">
      <w:pPr>
        <w:pStyle w:val="western"/>
        <w:ind w:firstLine="709"/>
        <w:jc w:val="both"/>
        <w:rPr>
          <w:color w:val="000000"/>
          <w:szCs w:val="20"/>
        </w:rPr>
      </w:pPr>
      <w:proofErr w:type="gramStart"/>
      <w:r w:rsidRPr="00A02C10">
        <w:rPr>
          <w:color w:val="000000"/>
          <w:szCs w:val="26"/>
        </w:rPr>
        <w:t>karar</w:t>
      </w:r>
      <w:proofErr w:type="gramEnd"/>
      <w:r w:rsidRPr="00A02C10">
        <w:rPr>
          <w:color w:val="000000"/>
          <w:szCs w:val="26"/>
        </w:rPr>
        <w:t xml:space="preserve"> verildi.”</w:t>
      </w:r>
      <w:r w:rsidRPr="00A02C10">
        <w:rPr>
          <w:color w:val="000000"/>
          <w:szCs w:val="26"/>
        </w:rPr>
        <w:t>"</w:t>
      </w:r>
    </w:p>
    <w:p w:rsidR="00CE1FB9" w:rsidRPr="00A02C10" w:rsidRDefault="00CE1FB9" w:rsidP="00A02C10">
      <w:pPr>
        <w:spacing w:before="100" w:beforeAutospacing="1" w:after="100" w:afterAutospacing="1" w:line="240" w:lineRule="auto"/>
        <w:ind w:firstLine="709"/>
        <w:jc w:val="both"/>
        <w:rPr>
          <w:rFonts w:ascii="Times New Roman" w:hAnsi="Times New Roman" w:cs="Times New Roman"/>
          <w:sz w:val="24"/>
        </w:rPr>
      </w:pPr>
    </w:p>
    <w:sectPr w:rsidR="00CE1FB9" w:rsidRPr="00A02C10">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67C78" w:rsidRDefault="00567C78" w:rsidP="00A02C10">
      <w:pPr>
        <w:spacing w:after="0" w:line="240" w:lineRule="auto"/>
      </w:pPr>
      <w:r>
        <w:separator/>
      </w:r>
    </w:p>
  </w:endnote>
  <w:endnote w:type="continuationSeparator" w:id="0">
    <w:p w:rsidR="00567C78" w:rsidRDefault="00567C78" w:rsidP="00A02C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2C10" w:rsidRDefault="00A02C10" w:rsidP="006C49B2">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A02C10" w:rsidRDefault="00A02C10" w:rsidP="00A02C10">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2C10" w:rsidRPr="00A02C10" w:rsidRDefault="00A02C10" w:rsidP="006C49B2">
    <w:pPr>
      <w:pStyle w:val="Altbilgi"/>
      <w:framePr w:wrap="around" w:vAnchor="text" w:hAnchor="margin" w:xAlign="right" w:y="1"/>
      <w:rPr>
        <w:rStyle w:val="SayfaNumaras"/>
        <w:rFonts w:ascii="Times New Roman" w:hAnsi="Times New Roman" w:cs="Times New Roman"/>
      </w:rPr>
    </w:pPr>
    <w:r w:rsidRPr="00A02C10">
      <w:rPr>
        <w:rStyle w:val="SayfaNumaras"/>
        <w:rFonts w:ascii="Times New Roman" w:hAnsi="Times New Roman" w:cs="Times New Roman"/>
      </w:rPr>
      <w:fldChar w:fldCharType="begin"/>
    </w:r>
    <w:r w:rsidRPr="00A02C10">
      <w:rPr>
        <w:rStyle w:val="SayfaNumaras"/>
        <w:rFonts w:ascii="Times New Roman" w:hAnsi="Times New Roman" w:cs="Times New Roman"/>
      </w:rPr>
      <w:instrText xml:space="preserve">PAGE  </w:instrText>
    </w:r>
    <w:r w:rsidRPr="00A02C10">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A02C10">
      <w:rPr>
        <w:rStyle w:val="SayfaNumaras"/>
        <w:rFonts w:ascii="Times New Roman" w:hAnsi="Times New Roman" w:cs="Times New Roman"/>
      </w:rPr>
      <w:fldChar w:fldCharType="end"/>
    </w:r>
  </w:p>
  <w:p w:rsidR="00A02C10" w:rsidRPr="00A02C10" w:rsidRDefault="00A02C10" w:rsidP="00A02C10">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67C78" w:rsidRDefault="00567C78" w:rsidP="00A02C10">
      <w:pPr>
        <w:spacing w:after="0" w:line="240" w:lineRule="auto"/>
      </w:pPr>
      <w:r>
        <w:separator/>
      </w:r>
    </w:p>
  </w:footnote>
  <w:footnote w:type="continuationSeparator" w:id="0">
    <w:p w:rsidR="00567C78" w:rsidRDefault="00567C78" w:rsidP="00A02C1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2C10" w:rsidRPr="00BE44F4" w:rsidRDefault="00A02C10" w:rsidP="00A02C10">
    <w:pPr>
      <w:spacing w:after="0" w:line="240" w:lineRule="auto"/>
      <w:jc w:val="both"/>
      <w:rPr>
        <w:rFonts w:ascii="Times New Roman" w:eastAsia="Times New Roman" w:hAnsi="Times New Roman" w:cs="Times New Roman"/>
        <w:b/>
        <w:color w:val="000000"/>
        <w:sz w:val="24"/>
        <w:szCs w:val="20"/>
        <w:lang w:eastAsia="tr-TR"/>
      </w:rPr>
    </w:pPr>
    <w:r w:rsidRPr="00BE44F4">
      <w:rPr>
        <w:rFonts w:ascii="Times New Roman" w:eastAsia="Times New Roman" w:hAnsi="Times New Roman" w:cs="Times New Roman"/>
        <w:b/>
        <w:bCs/>
        <w:color w:val="000000"/>
        <w:sz w:val="24"/>
        <w:szCs w:val="26"/>
        <w:lang w:eastAsia="tr-TR"/>
      </w:rPr>
      <w:t xml:space="preserve">Esas </w:t>
    </w:r>
    <w:proofErr w:type="gramStart"/>
    <w:r w:rsidRPr="00BE44F4">
      <w:rPr>
        <w:rFonts w:ascii="Times New Roman" w:eastAsia="Times New Roman" w:hAnsi="Times New Roman" w:cs="Times New Roman"/>
        <w:b/>
        <w:bCs/>
        <w:color w:val="000000"/>
        <w:sz w:val="24"/>
        <w:szCs w:val="26"/>
        <w:lang w:eastAsia="tr-TR"/>
      </w:rPr>
      <w:t>Sayısı : 2006</w:t>
    </w:r>
    <w:proofErr w:type="gramEnd"/>
    <w:r w:rsidRPr="00BE44F4">
      <w:rPr>
        <w:rFonts w:ascii="Times New Roman" w:eastAsia="Times New Roman" w:hAnsi="Times New Roman" w:cs="Times New Roman"/>
        <w:b/>
        <w:bCs/>
        <w:color w:val="000000"/>
        <w:sz w:val="24"/>
        <w:szCs w:val="26"/>
        <w:lang w:eastAsia="tr-TR"/>
      </w:rPr>
      <w:t>/54</w:t>
    </w:r>
  </w:p>
  <w:p w:rsidR="00A02C10" w:rsidRPr="00BE44F4" w:rsidRDefault="00A02C10" w:rsidP="00A02C10">
    <w:pPr>
      <w:spacing w:after="0" w:line="240" w:lineRule="auto"/>
      <w:jc w:val="both"/>
      <w:rPr>
        <w:rFonts w:ascii="Times New Roman" w:eastAsia="Times New Roman" w:hAnsi="Times New Roman" w:cs="Times New Roman"/>
        <w:b/>
        <w:color w:val="000000"/>
        <w:sz w:val="24"/>
        <w:szCs w:val="20"/>
        <w:lang w:eastAsia="tr-TR"/>
      </w:rPr>
    </w:pPr>
    <w:r w:rsidRPr="00BE44F4">
      <w:rPr>
        <w:rFonts w:ascii="Times New Roman" w:eastAsia="Times New Roman" w:hAnsi="Times New Roman" w:cs="Times New Roman"/>
        <w:b/>
        <w:bCs/>
        <w:color w:val="000000"/>
        <w:sz w:val="24"/>
        <w:szCs w:val="26"/>
        <w:lang w:eastAsia="tr-TR"/>
      </w:rPr>
      <w:t xml:space="preserve">Karar </w:t>
    </w:r>
    <w:proofErr w:type="gramStart"/>
    <w:r w:rsidRPr="00BE44F4">
      <w:rPr>
        <w:rFonts w:ascii="Times New Roman" w:eastAsia="Times New Roman" w:hAnsi="Times New Roman" w:cs="Times New Roman"/>
        <w:b/>
        <w:bCs/>
        <w:color w:val="000000"/>
        <w:sz w:val="24"/>
        <w:szCs w:val="26"/>
        <w:lang w:eastAsia="tr-TR"/>
      </w:rPr>
      <w:t>Sayısı : 2006</w:t>
    </w:r>
    <w:proofErr w:type="gramEnd"/>
    <w:r w:rsidRPr="00BE44F4">
      <w:rPr>
        <w:rFonts w:ascii="Times New Roman" w:eastAsia="Times New Roman" w:hAnsi="Times New Roman" w:cs="Times New Roman"/>
        <w:b/>
        <w:bCs/>
        <w:color w:val="000000"/>
        <w:sz w:val="24"/>
        <w:szCs w:val="26"/>
        <w:lang w:eastAsia="tr-TR"/>
      </w:rPr>
      <w:t>/47</w:t>
    </w:r>
  </w:p>
  <w:p w:rsidR="00A02C10" w:rsidRPr="00A02C10" w:rsidRDefault="00A02C10" w:rsidP="00A02C10">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2C10"/>
    <w:rsid w:val="00567C78"/>
    <w:rsid w:val="00A02C10"/>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6B0ED89-CEA9-4DE3-8CCF-841D1F5324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A02C10"/>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western">
    <w:name w:val="western"/>
    <w:basedOn w:val="Normal"/>
    <w:rsid w:val="00A02C10"/>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A02C1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02C10"/>
  </w:style>
  <w:style w:type="paragraph" w:styleId="Altbilgi">
    <w:name w:val="footer"/>
    <w:basedOn w:val="Normal"/>
    <w:link w:val="AltbilgiChar"/>
    <w:uiPriority w:val="99"/>
    <w:unhideWhenUsed/>
    <w:rsid w:val="00A02C1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02C10"/>
  </w:style>
  <w:style w:type="character" w:styleId="SayfaNumaras">
    <w:name w:val="page number"/>
    <w:basedOn w:val="VarsaylanParagrafYazTipi"/>
    <w:uiPriority w:val="99"/>
    <w:semiHidden/>
    <w:unhideWhenUsed/>
    <w:rsid w:val="00A02C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02514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109</Words>
  <Characters>627</Characters>
  <Application>Microsoft Office Word</Application>
  <DocSecurity>0</DocSecurity>
  <Lines>5</Lines>
  <Paragraphs>1</Paragraphs>
  <ScaleCrop>false</ScaleCrop>
  <Company/>
  <LinksUpToDate>false</LinksUpToDate>
  <CharactersWithSpaces>735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2019-01-21T10:51:00Z</dcterms:created>
  <dcterms:modified xsi:type="dcterms:W3CDTF">2019-01-21T10:51:00Z</dcterms:modified>
</cp:coreProperties>
</file>