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B15" w:rsidRPr="00AB5B15" w:rsidRDefault="00AB5B15" w:rsidP="00AB5B15">
      <w:pPr>
        <w:pStyle w:val="NormalWeb"/>
        <w:ind w:firstLine="709"/>
        <w:jc w:val="both"/>
        <w:rPr>
          <w:b/>
          <w:bCs/>
          <w:color w:val="000000"/>
          <w:szCs w:val="26"/>
        </w:rPr>
      </w:pPr>
      <w:r w:rsidRPr="00AB5B15">
        <w:rPr>
          <w:b/>
          <w:bCs/>
          <w:color w:val="000000"/>
          <w:szCs w:val="26"/>
        </w:rPr>
        <w:t>"...</w:t>
      </w:r>
    </w:p>
    <w:p w:rsidR="00AB5B15" w:rsidRDefault="00AB5B15" w:rsidP="00AB5B15">
      <w:pPr>
        <w:pStyle w:val="NormalWeb"/>
        <w:ind w:firstLine="709"/>
        <w:jc w:val="both"/>
        <w:rPr>
          <w:color w:val="000000"/>
          <w:szCs w:val="27"/>
        </w:rPr>
      </w:pPr>
      <w:r w:rsidRPr="00AB5B15">
        <w:rPr>
          <w:b/>
          <w:bCs/>
          <w:color w:val="000000"/>
          <w:szCs w:val="26"/>
        </w:rPr>
        <w:t>II- İTİRAZ VE YÜRÜRLÜĞÜN DURDURUL</w:t>
      </w:r>
      <w:bookmarkStart w:id="0" w:name="_GoBack"/>
      <w:bookmarkEnd w:id="0"/>
      <w:r w:rsidRPr="00AB5B15">
        <w:rPr>
          <w:b/>
          <w:bCs/>
          <w:color w:val="000000"/>
          <w:szCs w:val="26"/>
        </w:rPr>
        <w:t>MASI İSTEMİNİN GEREKÇESİ</w:t>
      </w:r>
    </w:p>
    <w:p w:rsidR="00AB5B15" w:rsidRDefault="00AB5B15" w:rsidP="00AB5B15">
      <w:pPr>
        <w:pStyle w:val="western"/>
        <w:ind w:firstLine="709"/>
        <w:jc w:val="both"/>
        <w:rPr>
          <w:color w:val="000000"/>
          <w:szCs w:val="20"/>
        </w:rPr>
      </w:pPr>
      <w:r w:rsidRPr="00AB5B15">
        <w:rPr>
          <w:color w:val="000000"/>
          <w:szCs w:val="26"/>
        </w:rPr>
        <w:t>Başvuru kararının gerekçesinin ilgili bölümleri şöyledir:</w:t>
      </w:r>
    </w:p>
    <w:p w:rsidR="00AB5B15" w:rsidRDefault="00AB5B15" w:rsidP="00AB5B15">
      <w:pPr>
        <w:pStyle w:val="western"/>
        <w:ind w:firstLine="709"/>
        <w:jc w:val="both"/>
        <w:rPr>
          <w:color w:val="000000"/>
          <w:szCs w:val="20"/>
        </w:rPr>
      </w:pPr>
      <w:r w:rsidRPr="00AB5B15">
        <w:rPr>
          <w:color w:val="000000"/>
          <w:szCs w:val="26"/>
        </w:rPr>
        <w:t>“5326 sayılı Kanun'un ‘Çeşitli Kabahatler' başlıklı ikinci kısmında 3984 sayılı Kanun'da düzenlenen yayın ilkelerinin tekraren ihlâli nedeniyle verilen para cezaları yer almamakta ise de; Kanun'un 2. ve 3. maddeleri gereğince, kabahat sayılan fiillerin sadece bu Kanunda sayılanlarla sınırlandırılmayıp, diğer özel kanunlarda yer alan kabahat nev'inden eylemlerin de bu Kanundaki hükümlere tabi olması karşısında, 3984 sayılı Kanun'un 33. maddesinde yaptırıma bağlanan eylemlerin de “Kabahat” deyimi kapsamında kabul edileceği ve bu tür para cezalarına karşı sulh ceza mahkemesine başvurulacağı Kanun'un 27. maddesinin 1. bendinin birinci tümcesi gereğidir.</w:t>
      </w:r>
    </w:p>
    <w:p w:rsidR="00AB5B15" w:rsidRDefault="00AB5B15" w:rsidP="00AB5B15">
      <w:pPr>
        <w:pStyle w:val="western"/>
        <w:ind w:firstLine="709"/>
        <w:jc w:val="both"/>
        <w:rPr>
          <w:color w:val="000000"/>
          <w:szCs w:val="20"/>
        </w:rPr>
      </w:pPr>
      <w:r w:rsidRPr="00AB5B15">
        <w:rPr>
          <w:color w:val="000000"/>
          <w:szCs w:val="26"/>
        </w:rPr>
        <w:t>...</w:t>
      </w:r>
    </w:p>
    <w:p w:rsidR="00AB5B15" w:rsidRDefault="00AB5B15" w:rsidP="00AB5B15">
      <w:pPr>
        <w:pStyle w:val="western"/>
        <w:ind w:firstLine="709"/>
        <w:jc w:val="both"/>
        <w:rPr>
          <w:color w:val="000000"/>
          <w:szCs w:val="20"/>
        </w:rPr>
      </w:pPr>
      <w:r w:rsidRPr="00AB5B15">
        <w:rPr>
          <w:color w:val="000000"/>
          <w:szCs w:val="26"/>
        </w:rPr>
        <w:t>Anayasa'nın 2. maddesi, Türkiye Cumhuriyeti'nin demokratik bir hukuk devleti olduğunu belirlerken, Devlet içinde tüm kamusal yaşam ve yönetimin yargı denetimine bağlı olmasını amaçlamıştır.</w:t>
      </w:r>
    </w:p>
    <w:p w:rsidR="00AB5B15" w:rsidRDefault="00AB5B15" w:rsidP="00AB5B15">
      <w:pPr>
        <w:pStyle w:val="western"/>
        <w:ind w:firstLine="709"/>
        <w:jc w:val="both"/>
        <w:rPr>
          <w:color w:val="000000"/>
          <w:szCs w:val="20"/>
        </w:rPr>
      </w:pPr>
      <w:r w:rsidRPr="00AB5B15">
        <w:rPr>
          <w:color w:val="000000"/>
          <w:szCs w:val="26"/>
        </w:rPr>
        <w:t>Anayasa'nın “İdarenin her türlü eylem ve işlemlerine karşı yargı yolu açıktır” kuralıyla benimsediği husus da etkili bir yargısal denetimdir. Anayasa'nın 125. maddesinin birinci fıkrasında yer alan bu kural, yönetimin kamu hukuku ya da özel hukuk alanına giren tüm eylem ve işlemlerini kapsamaktadır. İdarî yargının benimsendiği anayasal sistemlerde, kural olarak kamu hukuku alanındaki eylem ve işlemler için idarî yargı, özel hukuk alanındakiler için de adlî yargı görevli olmaktadır.</w:t>
      </w:r>
    </w:p>
    <w:p w:rsidR="00AB5B15" w:rsidRDefault="00AB5B15" w:rsidP="00AB5B15">
      <w:pPr>
        <w:pStyle w:val="western"/>
        <w:ind w:firstLine="709"/>
        <w:jc w:val="both"/>
        <w:rPr>
          <w:color w:val="000000"/>
          <w:szCs w:val="20"/>
        </w:rPr>
      </w:pPr>
      <w:r w:rsidRPr="00AB5B15">
        <w:rPr>
          <w:color w:val="000000"/>
          <w:szCs w:val="26"/>
        </w:rPr>
        <w:t>Anayasa'nın 140. maddesinin birinci fıkrasında yer alan, “Hâkimler ve savcılar adlî ve idarî yargı hâkim ve savcıları olarak görev yaparlar”, 155. maddesinin birinci fıkrasında yer alan, “Danıştay, idarî mahkemelerce verilen kanunun başka bir idarî yargı merciine bırakmadığı karar ve hükümlerin son inceleme merciidir. Kanunla gösterilen belli davalara da ilk ve son derece mahkemesi olarak bakar” biçimindeki düzenlemelerle tarihsel gelişime paralel olarak Anayasa'da adlî ve idarî yargı ayrımının benimsendiği görülmektedir. Bu itibarla kural olarak idare alanına giren konularda idarî yargı, özel hukuk alanına giren konularda adlî yargı görevli olacağından, idarî yargının görev alanına giren bir uyuşmazlığın çözümünde adlî yargının görevlendirilmesi konusunda yasa koyucunun mutlak bir takdir hakkının bulunduğunu söylemek olanaklı değildir.</w:t>
      </w:r>
    </w:p>
    <w:p w:rsidR="00AB5B15" w:rsidRDefault="00AB5B15" w:rsidP="00AB5B15">
      <w:pPr>
        <w:pStyle w:val="western"/>
        <w:ind w:firstLine="709"/>
        <w:jc w:val="both"/>
        <w:rPr>
          <w:color w:val="000000"/>
          <w:szCs w:val="20"/>
        </w:rPr>
      </w:pPr>
      <w:r w:rsidRPr="00AB5B15">
        <w:rPr>
          <w:color w:val="000000"/>
          <w:szCs w:val="26"/>
        </w:rPr>
        <w:t>Mahkemelerce uygulanan yaptırımlar kamu düzeni ve güvenliğini sağlamak amacına matuf olduğu halde, Kamu İdarelerine tanınan yaptırım uygulama yetkisiyle, idarenin kamu hizmetlerini gereği gibi, etkin ve ivedilikle yürütebilmesi amacı gözetilmektedir. Kişilere, idare hukuku alanındaki düzene aykırı davranışları nedeniyle verilen idarî cezalar, idarî yaptırımların en önemlilerinden biridir. İdarî para cezalarını diğer cezalardan ayıran en belirgin nitelik, idarî makamlar tarafından verilmesidir. İdarî bir makam tarafından tek taraflı olarak idare hukuku alanında kamu gücünün kullanılması suretiyle tesis edilmeleri nedeniyle idarî bir işlem oldukları tartışmasız olduğundan, çıkacak uyuşmazlıkların çözümünde de idarî yargının görevli olması gerekmektedir.</w:t>
      </w:r>
    </w:p>
    <w:p w:rsidR="00AB5B15" w:rsidRPr="00AB5B15" w:rsidRDefault="00AB5B15" w:rsidP="00AB5B15">
      <w:pPr>
        <w:pStyle w:val="western"/>
        <w:ind w:firstLine="709"/>
        <w:jc w:val="both"/>
        <w:rPr>
          <w:color w:val="000000"/>
          <w:szCs w:val="20"/>
        </w:rPr>
      </w:pPr>
      <w:r w:rsidRPr="00AB5B15">
        <w:rPr>
          <w:color w:val="000000"/>
          <w:szCs w:val="26"/>
        </w:rPr>
        <w:lastRenderedPageBreak/>
        <w:t>Bu itibarla itiraz konusu kural, idarî yargının görev alanına giren uyuşmazlıkların çözümünü adlî yargı yerlerine bırakmakla Anayasa'nın 125. ve 155. maddelerinin belirlediği bu idarî ve adlî yargı ayrımına aykırılık oluşturmaktadır. Hukuk Devleti tüm organlarının üstünde hukukun mutlak egemenliğinin bulunmasını, yasa koyucunun da her zaman Anayasa ve hukukun üstün kuralları ile kendisini bağlı saymasını gerektirdiğinden, yukarıda belirtildiği üzere Anayasa'nın 125 ve 155. maddelerine aykırı olan itiraz konusu kural, Hukuk Devleti ilkesine de aykırı düşmektedir.”</w:t>
      </w:r>
      <w:r w:rsidRPr="00AB5B15">
        <w:rPr>
          <w:color w:val="000000"/>
          <w:szCs w:val="26"/>
        </w:rPr>
        <w:t>"</w:t>
      </w:r>
    </w:p>
    <w:p w:rsidR="00CE1FB9" w:rsidRPr="00AB5B15" w:rsidRDefault="00CE1FB9" w:rsidP="00AB5B15">
      <w:pPr>
        <w:spacing w:before="100" w:beforeAutospacing="1" w:after="100" w:afterAutospacing="1" w:line="240" w:lineRule="auto"/>
        <w:ind w:firstLine="709"/>
        <w:jc w:val="both"/>
        <w:rPr>
          <w:rFonts w:ascii="Times New Roman" w:hAnsi="Times New Roman" w:cs="Times New Roman"/>
          <w:sz w:val="24"/>
        </w:rPr>
      </w:pPr>
    </w:p>
    <w:sectPr w:rsidR="00CE1FB9" w:rsidRPr="00AB5B1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77F" w:rsidRDefault="00F5077F" w:rsidP="00AB5B15">
      <w:pPr>
        <w:spacing w:after="0" w:line="240" w:lineRule="auto"/>
      </w:pPr>
      <w:r>
        <w:separator/>
      </w:r>
    </w:p>
  </w:endnote>
  <w:endnote w:type="continuationSeparator" w:id="0">
    <w:p w:rsidR="00F5077F" w:rsidRDefault="00F5077F" w:rsidP="00AB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B15" w:rsidRDefault="00AB5B15" w:rsidP="00B824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5B15" w:rsidRDefault="00AB5B15" w:rsidP="00AB5B1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B15" w:rsidRPr="00AB5B15" w:rsidRDefault="00AB5B15" w:rsidP="00B82479">
    <w:pPr>
      <w:pStyle w:val="Altbilgi"/>
      <w:framePr w:wrap="around" w:vAnchor="text" w:hAnchor="margin" w:xAlign="right" w:y="1"/>
      <w:rPr>
        <w:rStyle w:val="SayfaNumaras"/>
        <w:rFonts w:ascii="Times New Roman" w:hAnsi="Times New Roman" w:cs="Times New Roman"/>
      </w:rPr>
    </w:pPr>
    <w:r w:rsidRPr="00AB5B15">
      <w:rPr>
        <w:rStyle w:val="SayfaNumaras"/>
        <w:rFonts w:ascii="Times New Roman" w:hAnsi="Times New Roman" w:cs="Times New Roman"/>
      </w:rPr>
      <w:fldChar w:fldCharType="begin"/>
    </w:r>
    <w:r w:rsidRPr="00AB5B15">
      <w:rPr>
        <w:rStyle w:val="SayfaNumaras"/>
        <w:rFonts w:ascii="Times New Roman" w:hAnsi="Times New Roman" w:cs="Times New Roman"/>
      </w:rPr>
      <w:instrText xml:space="preserve">PAGE  </w:instrText>
    </w:r>
    <w:r w:rsidRPr="00AB5B1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B5B15">
      <w:rPr>
        <w:rStyle w:val="SayfaNumaras"/>
        <w:rFonts w:ascii="Times New Roman" w:hAnsi="Times New Roman" w:cs="Times New Roman"/>
      </w:rPr>
      <w:fldChar w:fldCharType="end"/>
    </w:r>
  </w:p>
  <w:p w:rsidR="00AB5B15" w:rsidRPr="00AB5B15" w:rsidRDefault="00AB5B15" w:rsidP="00AB5B1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77F" w:rsidRDefault="00F5077F" w:rsidP="00AB5B15">
      <w:pPr>
        <w:spacing w:after="0" w:line="240" w:lineRule="auto"/>
      </w:pPr>
      <w:r>
        <w:separator/>
      </w:r>
    </w:p>
  </w:footnote>
  <w:footnote w:type="continuationSeparator" w:id="0">
    <w:p w:rsidR="00F5077F" w:rsidRDefault="00F5077F" w:rsidP="00AB5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B15" w:rsidRPr="00941694" w:rsidRDefault="00AB5B15" w:rsidP="00AB5B15">
    <w:pPr>
      <w:spacing w:after="0" w:line="240" w:lineRule="auto"/>
      <w:jc w:val="both"/>
      <w:rPr>
        <w:rFonts w:ascii="Times New Roman" w:eastAsia="Times New Roman" w:hAnsi="Times New Roman" w:cs="Times New Roman"/>
        <w:b/>
        <w:color w:val="000000"/>
        <w:sz w:val="24"/>
        <w:szCs w:val="20"/>
        <w:lang w:eastAsia="tr-TR"/>
      </w:rPr>
    </w:pPr>
    <w:r w:rsidRPr="00941694">
      <w:rPr>
        <w:rFonts w:ascii="Times New Roman" w:eastAsia="Times New Roman" w:hAnsi="Times New Roman" w:cs="Times New Roman"/>
        <w:b/>
        <w:bCs/>
        <w:color w:val="000000"/>
        <w:sz w:val="24"/>
        <w:szCs w:val="26"/>
        <w:lang w:eastAsia="tr-TR"/>
      </w:rPr>
      <w:t>Esas Sayısı : 2006/34</w:t>
    </w:r>
  </w:p>
  <w:p w:rsidR="00AB5B15" w:rsidRPr="00941694" w:rsidRDefault="00AB5B15" w:rsidP="00AB5B15">
    <w:pPr>
      <w:spacing w:after="0" w:line="240" w:lineRule="auto"/>
      <w:jc w:val="both"/>
      <w:rPr>
        <w:rFonts w:ascii="Times New Roman" w:eastAsia="Times New Roman" w:hAnsi="Times New Roman" w:cs="Times New Roman"/>
        <w:b/>
        <w:color w:val="000000"/>
        <w:sz w:val="24"/>
        <w:szCs w:val="20"/>
        <w:lang w:eastAsia="tr-TR"/>
      </w:rPr>
    </w:pPr>
    <w:r w:rsidRPr="00941694">
      <w:rPr>
        <w:rFonts w:ascii="Times New Roman" w:eastAsia="Times New Roman" w:hAnsi="Times New Roman" w:cs="Times New Roman"/>
        <w:b/>
        <w:bCs/>
        <w:color w:val="000000"/>
        <w:sz w:val="24"/>
        <w:szCs w:val="26"/>
        <w:lang w:eastAsia="tr-TR"/>
      </w:rPr>
      <w:t>Karar Sayısı : 2006/37</w:t>
    </w:r>
  </w:p>
  <w:p w:rsidR="00AB5B15" w:rsidRPr="00AB5B15" w:rsidRDefault="00AB5B15" w:rsidP="00AB5B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15"/>
    <w:rsid w:val="00AB5B15"/>
    <w:rsid w:val="00CE1FB9"/>
    <w:rsid w:val="00F507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32042-3228-42AB-9D0B-8A255123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B5B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AB5B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5B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5B15"/>
  </w:style>
  <w:style w:type="paragraph" w:styleId="Altbilgi">
    <w:name w:val="footer"/>
    <w:basedOn w:val="Normal"/>
    <w:link w:val="AltbilgiChar"/>
    <w:uiPriority w:val="99"/>
    <w:unhideWhenUsed/>
    <w:rsid w:val="00AB5B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5B15"/>
  </w:style>
  <w:style w:type="character" w:styleId="SayfaNumaras">
    <w:name w:val="page number"/>
    <w:basedOn w:val="VarsaylanParagrafYazTipi"/>
    <w:uiPriority w:val="99"/>
    <w:semiHidden/>
    <w:unhideWhenUsed/>
    <w:rsid w:val="00AB5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5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2019-01-21T10:21:00Z</dcterms:created>
  <dcterms:modified xsi:type="dcterms:W3CDTF">2019-01-21T10:21:00Z</dcterms:modified>
</cp:coreProperties>
</file>