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ABE" w:rsidRPr="00E83ABE" w:rsidRDefault="00E83ABE" w:rsidP="00E83AB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E83ABE">
        <w:rPr>
          <w:rFonts w:ascii="Times New Roman" w:eastAsia="Times New Roman" w:hAnsi="Times New Roman" w:cs="Times New Roman"/>
          <w:b/>
          <w:bCs/>
          <w:color w:val="000000"/>
          <w:sz w:val="24"/>
          <w:szCs w:val="24"/>
          <w:lang w:eastAsia="tr-TR"/>
        </w:rPr>
        <w:t>"...</w:t>
      </w:r>
    </w:p>
    <w:p w:rsidR="00E83ABE" w:rsidRPr="00E83ABE" w:rsidRDefault="00E83ABE" w:rsidP="00E83AB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3ABE">
        <w:rPr>
          <w:rFonts w:ascii="Times New Roman" w:eastAsia="Times New Roman" w:hAnsi="Times New Roman" w:cs="Times New Roman"/>
          <w:b/>
          <w:bCs/>
          <w:color w:val="000000"/>
          <w:sz w:val="24"/>
          <w:szCs w:val="24"/>
          <w:lang w:eastAsia="tr-TR"/>
        </w:rPr>
        <w:t>II- İTİRAZIN GEREKÇESİ</w:t>
      </w:r>
      <w:bookmarkStart w:id="0" w:name="_GoBack"/>
      <w:bookmarkEnd w:id="0"/>
    </w:p>
    <w:p w:rsidR="00E83ABE" w:rsidRPr="00E83ABE" w:rsidRDefault="00E83ABE" w:rsidP="00E83AB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3ABE">
        <w:rPr>
          <w:rFonts w:ascii="Times New Roman" w:eastAsia="Times New Roman" w:hAnsi="Times New Roman" w:cs="Times New Roman"/>
          <w:color w:val="000000"/>
          <w:sz w:val="24"/>
          <w:szCs w:val="24"/>
          <w:lang w:eastAsia="tr-TR"/>
        </w:rPr>
        <w:t>Başvuru kararının gerekçe bölümü şöyledir:</w:t>
      </w:r>
    </w:p>
    <w:p w:rsidR="00E83ABE" w:rsidRPr="00E83ABE" w:rsidRDefault="00E83ABE" w:rsidP="00E83AB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3ABE">
        <w:rPr>
          <w:rFonts w:ascii="Times New Roman" w:eastAsia="Times New Roman" w:hAnsi="Times New Roman" w:cs="Times New Roman"/>
          <w:color w:val="000000"/>
          <w:sz w:val="24"/>
          <w:szCs w:val="24"/>
          <w:lang w:eastAsia="tr-TR"/>
        </w:rPr>
        <w:t>"15.4.2000 tarih ve 24021 sayılı Resmi Gazetede yayımlanan 26.10.1994 günlü, 4045 sayılı Yasa'nın geçici 1 inci maddesinde "12.9.1980 tarihinden sonra bakanlıklar ile kamu kurum ve kuruluşlarında açılan kamu görevine ve işçiliğe giriş sınavını kazanıp da haklarında yapılan güvenlik soruşturması sonucunda sakıncalı olduğunun bildirilmesi nedeniyle göreve ve işe alınmayanlar ile alındıktan sonra görevine ve işine son verilenler, ilgili mevzuatında veya toplu iş sözleşmelerinde öngörülen niteliklerin kaybedilmemiş olması koşuluyla yaş şartı aranmaksızın bu kanun yürürlüğe girdiği tarihten itibaren kamu kurum ve kuruluşlarınca açılacak sınavlara önceki güvenlik soruşturmaları dikkate alınmaksızın katılabilirler. Açılan sınavları kazanmaları sonucu göreve ve işe alınanlara geçmişe yönelik olarak aylık ve diğer özlük hakları verilmez ve açıkta geçen süreleri değerlendirmez; bu konu ile ilgili olarak yargıya intikal etmiş olanlardan henüz haklarında yargı kararı kesinleşmemiş olanlar hakkında da bu kanun hükümleri uygulanır" hükmü getirilmiştir.</w:t>
      </w:r>
    </w:p>
    <w:p w:rsidR="00E83ABE" w:rsidRPr="00E83ABE" w:rsidRDefault="00E83ABE" w:rsidP="00E83AB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3ABE">
        <w:rPr>
          <w:rFonts w:ascii="Times New Roman" w:eastAsia="Times New Roman" w:hAnsi="Times New Roman" w:cs="Times New Roman"/>
          <w:color w:val="000000"/>
          <w:sz w:val="24"/>
          <w:szCs w:val="24"/>
          <w:lang w:eastAsia="tr-TR"/>
        </w:rPr>
        <w:t>21.5.1998 tarihinde A.Y.M.'nin 4045 sayılı Yasa'nın geçici 1 inci maddesindeki "kamu görevlileri ve işçiler" tümcesinin işçiler yönünden sınav şartının iptaline karar verdiği bu durumda 4045 sayılı Yasa'nın geçici 1 inci maddesinin iş bu dava sebebiyle uygulanacak hüküm olduğunda duraksama bulunmamaktadır.</w:t>
      </w:r>
    </w:p>
    <w:p w:rsidR="00E83ABE" w:rsidRPr="00E83ABE" w:rsidRDefault="00E83ABE" w:rsidP="00E83AB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3ABE">
        <w:rPr>
          <w:rFonts w:ascii="Times New Roman" w:eastAsia="Times New Roman" w:hAnsi="Times New Roman" w:cs="Times New Roman"/>
          <w:color w:val="000000"/>
          <w:sz w:val="24"/>
          <w:szCs w:val="24"/>
          <w:lang w:eastAsia="tr-TR"/>
        </w:rPr>
        <w:t>T.C. Anayasa'nın 10. maddesinde; "Herkes, dil, ırk, renk, cinsiyet, siyasi düşünce, felsefi inanç, din mezhep ve benzeri sebeplerle ayırım gözetilmeksizin kanun önünde eşittir. Hiçbir kişiye, aileye, zümreye veya sınıfa imtiyaz tanınamaz." denilmiştir.</w:t>
      </w:r>
    </w:p>
    <w:p w:rsidR="00E83ABE" w:rsidRPr="00E83ABE" w:rsidRDefault="00E83ABE" w:rsidP="00E83AB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3ABE">
        <w:rPr>
          <w:rFonts w:ascii="Times New Roman" w:eastAsia="Times New Roman" w:hAnsi="Times New Roman" w:cs="Times New Roman"/>
          <w:color w:val="000000"/>
          <w:sz w:val="24"/>
          <w:szCs w:val="24"/>
          <w:lang w:eastAsia="tr-TR"/>
        </w:rPr>
        <w:t>Anayasa'nın metni yukarıya alınan "Kanun önünde eşitlik" başlıklı 10. maddesinin anlam ve kapsamı Anayasa Mahkememizin bir çok kararında vurgulanmıştır. Anayasa Mahkememize göre; "Anayasa'nın 10. maddesi, aynı hukuksal durumda bulunan kişiler arasında haklı bir nedene dayanmayan ayırımı önlemeyi, amaçlamıştır. Bu madde, eylemli eşitliği değil, hukuksal eşitliği öngörmekte aynı durumda olanların ayrı kurallara bağlı tutulmasını sakıncalı kılmamaktadır. Eşitlik ile güdülen amaç, aynı koşullar içinde özdeş nitelikli olanların yasalarca aynı işleme tabi tutulması, başka bir deyişle, eşitler arasında eşitliğin sağlanmasıdır. Anayasa'nın 10. maddesinde yer alan eşitlik kavramıyla kanun önünde eşitlik yani hukuki eşitlik kasdedilmiştir."</w:t>
      </w:r>
    </w:p>
    <w:p w:rsidR="00E83ABE" w:rsidRPr="00E83ABE" w:rsidRDefault="00E83ABE" w:rsidP="00E83AB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3ABE">
        <w:rPr>
          <w:rFonts w:ascii="Times New Roman" w:eastAsia="Times New Roman" w:hAnsi="Times New Roman" w:cs="Times New Roman"/>
          <w:color w:val="000000"/>
          <w:sz w:val="24"/>
          <w:szCs w:val="24"/>
          <w:lang w:eastAsia="tr-TR"/>
        </w:rPr>
        <w:t>Görüldüğü üzere Anayasa Mahkememiz aynı hukuksal durumda bulunan kişiler arasında hukuken geçerli, haklı bir nedene dayanmayan ayırımların Anayasa'nın 10. maddesinde öngörülen ve Anayasa'da yer alan en önemli kavramlardan biri olan Yasa önünde eşitlik ilkesine aykırı düşeceğini kabul etmektedir.</w:t>
      </w:r>
    </w:p>
    <w:p w:rsidR="00E83ABE" w:rsidRPr="00E83ABE" w:rsidRDefault="00E83ABE" w:rsidP="00E83AB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3ABE">
        <w:rPr>
          <w:rFonts w:ascii="Times New Roman" w:eastAsia="Times New Roman" w:hAnsi="Times New Roman" w:cs="Times New Roman"/>
          <w:color w:val="000000"/>
          <w:sz w:val="24"/>
          <w:szCs w:val="24"/>
          <w:lang w:eastAsia="tr-TR"/>
        </w:rPr>
        <w:t>4045 sayılı Yasa'nın geçici 1 inci maddesinin birinci tümcesinin "kamu kurum ve kuruluşlarında açılan işçiliğe giriş sınavını kazanıp da haklarında yapılan güvenlik soruşturması sonucunda sakıncalı olduğunun bildirilmesi nedeniyle işe alındıktan sonra işine son verilenler yönünden Anayasa'ya aykırı olduğuna karar verilip iptal edilmiş iken, aynı hukuksal durumda olmalarına karşın kamu görevlilerinin işçilerden ayrı tutulup sadece işçiler yönünden sınav şartının iptaline karar verilmesinde Anayasa'nın 10. maddesi hükmüne aykırılık açıktır.</w:t>
      </w:r>
    </w:p>
    <w:p w:rsidR="00E83ABE" w:rsidRPr="00E83ABE" w:rsidRDefault="00E83ABE" w:rsidP="00E83AB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3ABE">
        <w:rPr>
          <w:rFonts w:ascii="Times New Roman" w:eastAsia="Times New Roman" w:hAnsi="Times New Roman" w:cs="Times New Roman"/>
          <w:color w:val="000000"/>
          <w:sz w:val="24"/>
          <w:szCs w:val="24"/>
          <w:lang w:eastAsia="tr-TR"/>
        </w:rPr>
        <w:lastRenderedPageBreak/>
        <w:t>Açıklanan nedenlerle, davacının Anayasa'ya aykırılık iddiası ciddi bulunarak 4045 sayılı Yasa'nın geçici 1 inci maddesinin "kamu görevleri" yönünden de iptali için Anayasa Mahkemesi'ne gönderilmesine, davanın Anayasa Mahkemesi'nin bu konuda vereceği karara kadar geri bırakılmasına, 30.4.2001 tarihinde oybirliği ile karar verildi."</w:t>
      </w:r>
    </w:p>
    <w:p w:rsidR="00E83ABE" w:rsidRPr="00E83ABE" w:rsidRDefault="00E83ABE" w:rsidP="00E83AB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83ABE">
        <w:rPr>
          <w:rFonts w:ascii="Times New Roman" w:eastAsia="Times New Roman" w:hAnsi="Times New Roman" w:cs="Times New Roman"/>
          <w:b/>
          <w:bCs/>
          <w:color w:val="000000"/>
          <w:sz w:val="24"/>
          <w:szCs w:val="24"/>
          <w:lang w:eastAsia="tr-TR"/>
        </w:rPr>
        <w:t> "</w:t>
      </w:r>
    </w:p>
    <w:p w:rsidR="00CE1FB9" w:rsidRPr="00E83ABE" w:rsidRDefault="00CE1FB9" w:rsidP="00E83ABE">
      <w:pPr>
        <w:spacing w:before="100" w:beforeAutospacing="1" w:after="100" w:afterAutospacing="1" w:line="240" w:lineRule="auto"/>
        <w:ind w:firstLine="709"/>
        <w:jc w:val="both"/>
        <w:rPr>
          <w:rFonts w:ascii="Times New Roman" w:hAnsi="Times New Roman" w:cs="Times New Roman"/>
          <w:sz w:val="24"/>
        </w:rPr>
      </w:pPr>
    </w:p>
    <w:sectPr w:rsidR="00CE1FB9" w:rsidRPr="00E83AB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AA4" w:rsidRDefault="002D3AA4" w:rsidP="00E83ABE">
      <w:pPr>
        <w:spacing w:after="0" w:line="240" w:lineRule="auto"/>
      </w:pPr>
      <w:r>
        <w:separator/>
      </w:r>
    </w:p>
  </w:endnote>
  <w:endnote w:type="continuationSeparator" w:id="0">
    <w:p w:rsidR="002D3AA4" w:rsidRDefault="002D3AA4" w:rsidP="00E83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ABE" w:rsidRDefault="00E83ABE" w:rsidP="001F3DC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83ABE" w:rsidRDefault="00E83ABE" w:rsidP="00E83AB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ABE" w:rsidRPr="00E83ABE" w:rsidRDefault="00E83ABE" w:rsidP="001F3DC0">
    <w:pPr>
      <w:pStyle w:val="Altbilgi"/>
      <w:framePr w:wrap="around" w:vAnchor="text" w:hAnchor="margin" w:xAlign="right" w:y="1"/>
      <w:rPr>
        <w:rStyle w:val="SayfaNumaras"/>
        <w:rFonts w:ascii="Times New Roman" w:hAnsi="Times New Roman" w:cs="Times New Roman"/>
      </w:rPr>
    </w:pPr>
    <w:r w:rsidRPr="00E83ABE">
      <w:rPr>
        <w:rStyle w:val="SayfaNumaras"/>
        <w:rFonts w:ascii="Times New Roman" w:hAnsi="Times New Roman" w:cs="Times New Roman"/>
      </w:rPr>
      <w:fldChar w:fldCharType="begin"/>
    </w:r>
    <w:r w:rsidRPr="00E83ABE">
      <w:rPr>
        <w:rStyle w:val="SayfaNumaras"/>
        <w:rFonts w:ascii="Times New Roman" w:hAnsi="Times New Roman" w:cs="Times New Roman"/>
      </w:rPr>
      <w:instrText xml:space="preserve">PAGE  </w:instrText>
    </w:r>
    <w:r w:rsidRPr="00E83AB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83ABE">
      <w:rPr>
        <w:rStyle w:val="SayfaNumaras"/>
        <w:rFonts w:ascii="Times New Roman" w:hAnsi="Times New Roman" w:cs="Times New Roman"/>
      </w:rPr>
      <w:fldChar w:fldCharType="end"/>
    </w:r>
  </w:p>
  <w:p w:rsidR="00E83ABE" w:rsidRPr="00E83ABE" w:rsidRDefault="00E83ABE" w:rsidP="00E83AB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AA4" w:rsidRDefault="002D3AA4" w:rsidP="00E83ABE">
      <w:pPr>
        <w:spacing w:after="0" w:line="240" w:lineRule="auto"/>
      </w:pPr>
      <w:r>
        <w:separator/>
      </w:r>
    </w:p>
  </w:footnote>
  <w:footnote w:type="continuationSeparator" w:id="0">
    <w:p w:rsidR="002D3AA4" w:rsidRDefault="002D3AA4" w:rsidP="00E83A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ABE" w:rsidRPr="00C6075D" w:rsidRDefault="00E83ABE" w:rsidP="00E83ABE">
    <w:pPr>
      <w:spacing w:after="0" w:line="240" w:lineRule="auto"/>
      <w:jc w:val="both"/>
      <w:rPr>
        <w:rFonts w:ascii="Times New Roman" w:eastAsia="Times New Roman" w:hAnsi="Times New Roman" w:cs="Times New Roman"/>
        <w:b/>
        <w:color w:val="000000"/>
        <w:sz w:val="24"/>
        <w:szCs w:val="20"/>
        <w:lang w:eastAsia="tr-TR"/>
      </w:rPr>
    </w:pPr>
    <w:r w:rsidRPr="00C6075D">
      <w:rPr>
        <w:rFonts w:ascii="Times New Roman" w:eastAsia="Times New Roman" w:hAnsi="Times New Roman" w:cs="Times New Roman"/>
        <w:b/>
        <w:bCs/>
        <w:color w:val="000000"/>
        <w:sz w:val="24"/>
        <w:szCs w:val="24"/>
        <w:lang w:eastAsia="tr-TR"/>
      </w:rPr>
      <w:t>Esas Sayısı    : 2001/390</w:t>
    </w:r>
  </w:p>
  <w:p w:rsidR="00E83ABE" w:rsidRPr="00C6075D" w:rsidRDefault="00E83ABE" w:rsidP="00E83ABE">
    <w:pPr>
      <w:spacing w:after="0" w:line="240" w:lineRule="auto"/>
      <w:jc w:val="both"/>
      <w:rPr>
        <w:rFonts w:ascii="Times New Roman" w:eastAsia="Times New Roman" w:hAnsi="Times New Roman" w:cs="Times New Roman"/>
        <w:b/>
        <w:color w:val="000000"/>
        <w:sz w:val="24"/>
        <w:szCs w:val="20"/>
        <w:lang w:eastAsia="tr-TR"/>
      </w:rPr>
    </w:pPr>
    <w:r w:rsidRPr="00C6075D">
      <w:rPr>
        <w:rFonts w:ascii="Times New Roman" w:eastAsia="Times New Roman" w:hAnsi="Times New Roman" w:cs="Times New Roman"/>
        <w:b/>
        <w:bCs/>
        <w:color w:val="000000"/>
        <w:sz w:val="24"/>
        <w:szCs w:val="24"/>
        <w:lang w:eastAsia="tr-TR"/>
      </w:rPr>
      <w:t>Karar Sayısı : 2004/35</w:t>
    </w:r>
  </w:p>
  <w:p w:rsidR="00E83ABE" w:rsidRPr="00E83ABE" w:rsidRDefault="00E83ABE" w:rsidP="00E83AB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ABE"/>
    <w:rsid w:val="002D3AA4"/>
    <w:rsid w:val="00CE1FB9"/>
    <w:rsid w:val="00E83A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0C272-0721-4218-9F74-33462E53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83AB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83ABE"/>
  </w:style>
  <w:style w:type="paragraph" w:styleId="Altbilgi">
    <w:name w:val="footer"/>
    <w:basedOn w:val="Normal"/>
    <w:link w:val="AltbilgiChar"/>
    <w:uiPriority w:val="99"/>
    <w:unhideWhenUsed/>
    <w:rsid w:val="00E83AB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83ABE"/>
  </w:style>
  <w:style w:type="character" w:styleId="SayfaNumaras">
    <w:name w:val="page number"/>
    <w:basedOn w:val="VarsaylanParagrafYazTipi"/>
    <w:uiPriority w:val="99"/>
    <w:semiHidden/>
    <w:unhideWhenUsed/>
    <w:rsid w:val="00E83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54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3069</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2019-01-16T13:20:00Z</dcterms:created>
  <dcterms:modified xsi:type="dcterms:W3CDTF">2019-01-16T13:20:00Z</dcterms:modified>
</cp:coreProperties>
</file>