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3A" w:rsidRPr="0063603A" w:rsidRDefault="0063603A" w:rsidP="0063603A">
      <w:pPr>
        <w:pStyle w:val="NormalWeb"/>
        <w:ind w:firstLine="709"/>
        <w:jc w:val="both"/>
        <w:rPr>
          <w:b/>
          <w:bCs/>
          <w:color w:val="000000"/>
          <w:szCs w:val="27"/>
        </w:rPr>
      </w:pPr>
      <w:r w:rsidRPr="0063603A">
        <w:rPr>
          <w:b/>
          <w:bCs/>
          <w:color w:val="000000"/>
          <w:szCs w:val="27"/>
        </w:rPr>
        <w:t>"...</w:t>
      </w:r>
      <w:bookmarkStart w:id="0" w:name="_GoBack"/>
      <w:bookmarkEnd w:id="0"/>
    </w:p>
    <w:p w:rsidR="0063603A" w:rsidRPr="0063603A" w:rsidRDefault="0063603A" w:rsidP="0063603A">
      <w:pPr>
        <w:pStyle w:val="NormalWeb"/>
        <w:ind w:firstLine="709"/>
        <w:jc w:val="both"/>
        <w:rPr>
          <w:color w:val="000000"/>
          <w:szCs w:val="27"/>
        </w:rPr>
      </w:pPr>
      <w:r w:rsidRPr="0063603A">
        <w:rPr>
          <w:b/>
          <w:bCs/>
          <w:color w:val="000000"/>
          <w:szCs w:val="27"/>
        </w:rPr>
        <w:t>II- İTİRAZIN GEREKÇESİ</w:t>
      </w:r>
    </w:p>
    <w:p w:rsidR="0063603A" w:rsidRPr="0063603A" w:rsidRDefault="0063603A" w:rsidP="0063603A">
      <w:pPr>
        <w:pStyle w:val="NormalWeb"/>
        <w:ind w:firstLine="709"/>
        <w:jc w:val="both"/>
        <w:rPr>
          <w:color w:val="000000"/>
          <w:szCs w:val="27"/>
        </w:rPr>
      </w:pPr>
      <w:r w:rsidRPr="0063603A">
        <w:rPr>
          <w:color w:val="000000"/>
          <w:szCs w:val="27"/>
        </w:rPr>
        <w:t>Başvuru kararının gerekçe bölümü şöyledir:</w:t>
      </w:r>
    </w:p>
    <w:p w:rsidR="0063603A" w:rsidRPr="0063603A" w:rsidRDefault="0063603A" w:rsidP="0063603A">
      <w:pPr>
        <w:pStyle w:val="NormalWeb"/>
        <w:ind w:firstLine="709"/>
        <w:jc w:val="both"/>
        <w:rPr>
          <w:color w:val="000000"/>
          <w:szCs w:val="27"/>
        </w:rPr>
      </w:pPr>
      <w:r w:rsidRPr="0063603A">
        <w:rPr>
          <w:color w:val="000000"/>
          <w:szCs w:val="27"/>
        </w:rPr>
        <w:t>"Anayasanın 2. maddesi, Türkiye Cumhuriyeti toplumun huzuru milli dayanışma ve adalet anlayışı içinde insan haklarına saygılı Atatürk Milliyetçiliğine bağlı başlangıçta belirtilen temel ilkelere dayanan demokratik, laik ve sosyal bir Hukuk devleti şeklindedir.</w:t>
      </w:r>
    </w:p>
    <w:p w:rsidR="0063603A" w:rsidRPr="0063603A" w:rsidRDefault="0063603A" w:rsidP="0063603A">
      <w:pPr>
        <w:pStyle w:val="NormalWeb"/>
        <w:ind w:firstLine="709"/>
        <w:jc w:val="both"/>
        <w:rPr>
          <w:color w:val="000000"/>
          <w:szCs w:val="27"/>
        </w:rPr>
      </w:pPr>
      <w:r w:rsidRPr="0063603A">
        <w:rPr>
          <w:color w:val="000000"/>
          <w:szCs w:val="27"/>
        </w:rPr>
        <w:t>Gerek başlangıç hükümlerinde gerekse 2. maddede belirtildiği gibi Egemenlik Kayıtsız Şartsız Türk Milletine ait olup, bunu millet adına kullanan hiç bir kişi ve kuruluşun bu Anayasada gösterilen Hürriyetçi Demokrasi ve bunun icapları ile belirlenmiş Hukuk düzeninin dışına çıkamaz.</w:t>
      </w:r>
    </w:p>
    <w:p w:rsidR="0063603A" w:rsidRPr="0063603A" w:rsidRDefault="0063603A" w:rsidP="0063603A">
      <w:pPr>
        <w:pStyle w:val="NormalWeb"/>
        <w:ind w:firstLine="709"/>
        <w:jc w:val="both"/>
        <w:rPr>
          <w:color w:val="000000"/>
          <w:szCs w:val="27"/>
        </w:rPr>
      </w:pPr>
      <w:r w:rsidRPr="0063603A">
        <w:rPr>
          <w:color w:val="000000"/>
          <w:szCs w:val="27"/>
        </w:rPr>
        <w:t>Kuvvetler ayrılığı gereği üstünlük ancak Anayasa ve Kanunlarda bulunur. Uygulamada ulusal yasalar ile uluslararası sözleşmeler arasında birlik bulunması şarttır.</w:t>
      </w:r>
    </w:p>
    <w:p w:rsidR="0063603A" w:rsidRPr="0063603A" w:rsidRDefault="0063603A" w:rsidP="0063603A">
      <w:pPr>
        <w:pStyle w:val="NormalWeb"/>
        <w:ind w:firstLine="709"/>
        <w:jc w:val="both"/>
        <w:rPr>
          <w:color w:val="000000"/>
          <w:szCs w:val="27"/>
        </w:rPr>
      </w:pPr>
      <w:r w:rsidRPr="0063603A">
        <w:rPr>
          <w:color w:val="000000"/>
          <w:szCs w:val="27"/>
        </w:rPr>
        <w:t>Devlet organları ve idare makamları Anayasanın 2. maddesinde belirtilen Hukuk Devleti ilkesinin Devletin tüm organları üstünde Hukukun mutlak egemenliğinin bulunması ve yasakoyucusunun da her zaman Anayasanın ve Hukukun üstün kuralları ile kendisini bağlı saymasını gerektirir.</w:t>
      </w:r>
    </w:p>
    <w:p w:rsidR="0063603A" w:rsidRPr="0063603A" w:rsidRDefault="0063603A" w:rsidP="0063603A">
      <w:pPr>
        <w:pStyle w:val="NormalWeb"/>
        <w:ind w:firstLine="709"/>
        <w:jc w:val="both"/>
        <w:rPr>
          <w:color w:val="000000"/>
          <w:szCs w:val="27"/>
        </w:rPr>
      </w:pPr>
      <w:r w:rsidRPr="0063603A">
        <w:rPr>
          <w:color w:val="000000"/>
          <w:szCs w:val="27"/>
        </w:rPr>
        <w:t>Devlet her alanda adaletli bir hukuk düzeni kurmak zorunluluğundadır.</w:t>
      </w:r>
    </w:p>
    <w:p w:rsidR="0063603A" w:rsidRPr="0063603A" w:rsidRDefault="0063603A" w:rsidP="0063603A">
      <w:pPr>
        <w:pStyle w:val="NormalWeb"/>
        <w:ind w:firstLine="709"/>
        <w:jc w:val="both"/>
        <w:rPr>
          <w:color w:val="000000"/>
          <w:szCs w:val="27"/>
        </w:rPr>
      </w:pPr>
      <w:r w:rsidRPr="0063603A">
        <w:rPr>
          <w:color w:val="000000"/>
          <w:szCs w:val="27"/>
        </w:rPr>
        <w:t>Anayasanın 90. maddesi gereğince Türk hukuk sistemi içerisinde uygulanması gereken Avrupa İnsan Hakları Sözleşmesine ek olarak düzenlenen 4 numaralı protokol ayrı bir kanunla kabul edilmiş ve Türk Ceza Yargılamasında yerini almıştır.</w:t>
      </w:r>
    </w:p>
    <w:p w:rsidR="0063603A" w:rsidRPr="0063603A" w:rsidRDefault="0063603A" w:rsidP="0063603A">
      <w:pPr>
        <w:pStyle w:val="NormalWeb"/>
        <w:ind w:firstLine="709"/>
        <w:jc w:val="both"/>
        <w:rPr>
          <w:color w:val="000000"/>
          <w:szCs w:val="27"/>
        </w:rPr>
      </w:pPr>
      <w:r w:rsidRPr="0063603A">
        <w:rPr>
          <w:color w:val="000000"/>
          <w:szCs w:val="27"/>
        </w:rPr>
        <w:t>Yine bu 4 numaralı protokol paralelinde 03.10.2001 tarih ve 3709 sayılı Yasanın 15. maddesi ile Anayasamızın 38. maddesi değiştirilmiş ve "idare kişi hürriyetinin kısıtlanması sonucunu doğuran bir müeyyide uygulayamaz" hükmünü getirmiştir.</w:t>
      </w:r>
    </w:p>
    <w:p w:rsidR="0063603A" w:rsidRPr="0063603A" w:rsidRDefault="0063603A" w:rsidP="0063603A">
      <w:pPr>
        <w:pStyle w:val="NormalWeb"/>
        <w:ind w:firstLine="709"/>
        <w:jc w:val="both"/>
        <w:rPr>
          <w:color w:val="000000"/>
          <w:szCs w:val="27"/>
        </w:rPr>
      </w:pPr>
      <w:r w:rsidRPr="0063603A">
        <w:rPr>
          <w:color w:val="000000"/>
          <w:szCs w:val="27"/>
        </w:rPr>
        <w:t>Bir başka anlatımla sözleşmenin temel ilkesi ekonomik suça ekonomik ceza verilmesini kabul etmiştir.</w:t>
      </w:r>
    </w:p>
    <w:p w:rsidR="0063603A" w:rsidRPr="0063603A" w:rsidRDefault="0063603A" w:rsidP="0063603A">
      <w:pPr>
        <w:pStyle w:val="NormalWeb"/>
        <w:ind w:firstLine="709"/>
        <w:jc w:val="both"/>
        <w:rPr>
          <w:color w:val="000000"/>
          <w:szCs w:val="27"/>
        </w:rPr>
      </w:pPr>
      <w:r w:rsidRPr="0063603A">
        <w:rPr>
          <w:color w:val="000000"/>
          <w:szCs w:val="27"/>
        </w:rPr>
        <w:t>Kaynağını yine Anayasadan alan Vergi Kanunları ile mükellef ile idare arasında yapılan sözleşmeler ile mükellef vergi vermekle, Devletin devamlılığını sağlamaktadır. Bu vergi tüm devletlerde temel ilkedir. Devletin vatandaş ile yaptığı bu sözleşme gereği mükellef yine yasada belirtilen şartlar ile bu vergi işleminin düzenini sağlamak için gerekli olan defterleri noterde tasdik ettirip bunu kullanmak yine bu defterleri talep halinde vergi memurlarına ibraz etmek zorundadır.</w:t>
      </w:r>
    </w:p>
    <w:p w:rsidR="0063603A" w:rsidRPr="0063603A" w:rsidRDefault="0063603A" w:rsidP="0063603A">
      <w:pPr>
        <w:pStyle w:val="NormalWeb"/>
        <w:ind w:firstLine="709"/>
        <w:jc w:val="both"/>
        <w:rPr>
          <w:color w:val="000000"/>
          <w:szCs w:val="27"/>
        </w:rPr>
      </w:pPr>
      <w:r w:rsidRPr="0063603A">
        <w:rPr>
          <w:color w:val="000000"/>
          <w:szCs w:val="27"/>
        </w:rPr>
        <w:t>Vergi memurları tarafından istenilen defter ve belgeleri ibraz etmeyen kişiler hakkında Yasa 6 aydan 3 yıla kadar hapis cezasını gerektirmektedir.</w:t>
      </w:r>
    </w:p>
    <w:p w:rsidR="0063603A" w:rsidRPr="0063603A" w:rsidRDefault="0063603A" w:rsidP="0063603A">
      <w:pPr>
        <w:pStyle w:val="NormalWeb"/>
        <w:ind w:firstLine="709"/>
        <w:jc w:val="both"/>
        <w:rPr>
          <w:color w:val="000000"/>
          <w:szCs w:val="27"/>
        </w:rPr>
      </w:pPr>
      <w:r w:rsidRPr="0063603A">
        <w:rPr>
          <w:color w:val="000000"/>
          <w:szCs w:val="27"/>
        </w:rPr>
        <w:t>Bu aşamada mükellefi üç ayrı ceza beklemektedir.</w:t>
      </w:r>
    </w:p>
    <w:p w:rsidR="0063603A" w:rsidRPr="0063603A" w:rsidRDefault="0063603A" w:rsidP="0063603A">
      <w:pPr>
        <w:pStyle w:val="NormalWeb"/>
        <w:ind w:firstLine="709"/>
        <w:jc w:val="both"/>
        <w:rPr>
          <w:color w:val="000000"/>
          <w:szCs w:val="27"/>
        </w:rPr>
      </w:pPr>
      <w:r w:rsidRPr="0063603A">
        <w:rPr>
          <w:color w:val="000000"/>
          <w:szCs w:val="27"/>
        </w:rPr>
        <w:t>a-) Vergi suçu sanığı olarak idarece para cezasına çarptırılabilmektedir.</w:t>
      </w:r>
    </w:p>
    <w:p w:rsidR="0063603A" w:rsidRPr="0063603A" w:rsidRDefault="0063603A" w:rsidP="0063603A">
      <w:pPr>
        <w:pStyle w:val="NormalWeb"/>
        <w:ind w:firstLine="709"/>
        <w:jc w:val="both"/>
        <w:rPr>
          <w:color w:val="000000"/>
          <w:szCs w:val="27"/>
        </w:rPr>
      </w:pPr>
      <w:r w:rsidRPr="0063603A">
        <w:rPr>
          <w:color w:val="000000"/>
          <w:szCs w:val="27"/>
        </w:rPr>
        <w:lastRenderedPageBreak/>
        <w:t>b-) İdare defter ve belgelerini ibraz etmeyen mükellefin KDV indirimlerini kabul etmeyerek resen KDV tahakkuk ettirip bunu icra yoluyla alabilmektedir.</w:t>
      </w:r>
    </w:p>
    <w:p w:rsidR="0063603A" w:rsidRPr="0063603A" w:rsidRDefault="0063603A" w:rsidP="0063603A">
      <w:pPr>
        <w:pStyle w:val="NormalWeb"/>
        <w:ind w:firstLine="709"/>
        <w:jc w:val="both"/>
        <w:rPr>
          <w:color w:val="000000"/>
          <w:szCs w:val="27"/>
        </w:rPr>
      </w:pPr>
      <w:r w:rsidRPr="0063603A">
        <w:rPr>
          <w:color w:val="000000"/>
          <w:szCs w:val="27"/>
        </w:rPr>
        <w:t>c-) Son olarak konumuzu teşkil eden davada olduğu gibi mükellef hakkında C. Savcılığına suç duyurusunda bulunulabilmektedir.</w:t>
      </w:r>
    </w:p>
    <w:p w:rsidR="0063603A" w:rsidRPr="0063603A" w:rsidRDefault="0063603A" w:rsidP="0063603A">
      <w:pPr>
        <w:pStyle w:val="NormalWeb"/>
        <w:ind w:firstLine="709"/>
        <w:jc w:val="both"/>
        <w:rPr>
          <w:color w:val="000000"/>
          <w:szCs w:val="27"/>
        </w:rPr>
      </w:pPr>
      <w:r w:rsidRPr="0063603A">
        <w:rPr>
          <w:color w:val="000000"/>
          <w:szCs w:val="27"/>
        </w:rPr>
        <w:t>Bir suça iki ayrı ceza verilmesi Hukukun Temel İlkesine aykırıdır.</w:t>
      </w:r>
    </w:p>
    <w:p w:rsidR="0063603A" w:rsidRPr="0063603A" w:rsidRDefault="0063603A" w:rsidP="0063603A">
      <w:pPr>
        <w:pStyle w:val="NormalWeb"/>
        <w:ind w:firstLine="709"/>
        <w:jc w:val="both"/>
        <w:rPr>
          <w:color w:val="000000"/>
          <w:szCs w:val="27"/>
        </w:rPr>
      </w:pPr>
      <w:r w:rsidRPr="0063603A">
        <w:rPr>
          <w:color w:val="000000"/>
          <w:szCs w:val="27"/>
        </w:rPr>
        <w:t>Kaynağını Anayasanın 73. maddesinden alan vergi toplumsal bir sözleşmedir.</w:t>
      </w:r>
    </w:p>
    <w:p w:rsidR="0063603A" w:rsidRPr="0063603A" w:rsidRDefault="0063603A" w:rsidP="0063603A">
      <w:pPr>
        <w:pStyle w:val="NormalWeb"/>
        <w:ind w:firstLine="709"/>
        <w:jc w:val="both"/>
        <w:rPr>
          <w:color w:val="000000"/>
          <w:szCs w:val="27"/>
        </w:rPr>
      </w:pPr>
      <w:r w:rsidRPr="0063603A">
        <w:rPr>
          <w:color w:val="000000"/>
          <w:szCs w:val="27"/>
        </w:rPr>
        <w:t>Yukarıda açıklandığı gibi hukukun temel ilkeleri ve Anayasanın eşitlik ilkesi ile 38. maddede belirtilen kişi hürriyetinin idarece kısıtlanması hükümlerine aykırılık olması, sanık hakkında uygulanan ve ekonomik bir sözleşme olan 213 sayılı Yasanın karşısında cezanın da ekonomik olması gerekir.</w:t>
      </w:r>
    </w:p>
    <w:p w:rsidR="0063603A" w:rsidRPr="0063603A" w:rsidRDefault="0063603A" w:rsidP="0063603A">
      <w:pPr>
        <w:pStyle w:val="NormalWeb"/>
        <w:ind w:firstLine="709"/>
        <w:jc w:val="both"/>
        <w:rPr>
          <w:color w:val="000000"/>
          <w:szCs w:val="27"/>
        </w:rPr>
      </w:pPr>
      <w:r w:rsidRPr="0063603A">
        <w:rPr>
          <w:color w:val="000000"/>
          <w:szCs w:val="27"/>
        </w:rPr>
        <w:t>4 numaralı protokolün 1. maddesinde belirtilen "bir borcun ifa edilmemesinden dolayı hürriyeti bağlayıcı ceza verilemez" hükmü Türkiye Cumhuriyeti Hükümeti tarafından ayrı bir Kanunla kabul edilmiştir.</w:t>
      </w:r>
    </w:p>
    <w:p w:rsidR="0063603A" w:rsidRPr="0063603A" w:rsidRDefault="0063603A" w:rsidP="0063603A">
      <w:pPr>
        <w:pStyle w:val="NormalWeb"/>
        <w:ind w:firstLine="709"/>
        <w:jc w:val="both"/>
        <w:rPr>
          <w:color w:val="000000"/>
          <w:szCs w:val="27"/>
        </w:rPr>
      </w:pPr>
      <w:r w:rsidRPr="0063603A">
        <w:rPr>
          <w:color w:val="000000"/>
          <w:szCs w:val="27"/>
        </w:rPr>
        <w:t>Diğer bir ifade ile toplumsal bir sözleşme olan verginin alınması için belge ve defterlerin istenmesi sonucunda bunların ibraz edilmemesinden dolayı hapis cezası hükmedilmesi Anayasa'ya aykırıdır.</w:t>
      </w:r>
    </w:p>
    <w:p w:rsidR="0063603A" w:rsidRPr="0063603A" w:rsidRDefault="0063603A" w:rsidP="0063603A">
      <w:pPr>
        <w:pStyle w:val="NormalWeb"/>
        <w:ind w:firstLine="709"/>
        <w:jc w:val="both"/>
        <w:rPr>
          <w:color w:val="000000"/>
          <w:szCs w:val="27"/>
        </w:rPr>
      </w:pPr>
      <w:r w:rsidRPr="0063603A">
        <w:rPr>
          <w:color w:val="000000"/>
          <w:szCs w:val="27"/>
        </w:rPr>
        <w:t>Yukarıda açıklandığı gibi 213 sayılı Yasanın değişik 359/a-2. maddesindeki "6 aydan 3 yıla kadar hapis cezası hükmolunur" maddesi Anayasa'nın 2 ve 38. maddelerine aykırı olduğu görüşü ile Anayasa'nın 152. maddesi gereğince yapılan başvurumuzun kabulü ve itirazen iptaline karar verilmesi saygı ile arz olunur."</w:t>
      </w:r>
      <w:r w:rsidRPr="0063603A">
        <w:rPr>
          <w:color w:val="000000"/>
          <w:szCs w:val="27"/>
        </w:rPr>
        <w:t>"</w:t>
      </w:r>
    </w:p>
    <w:p w:rsidR="00CE1FB9" w:rsidRPr="0063603A" w:rsidRDefault="00CE1FB9" w:rsidP="0063603A">
      <w:pPr>
        <w:spacing w:before="100" w:beforeAutospacing="1" w:after="100" w:afterAutospacing="1" w:line="240" w:lineRule="auto"/>
        <w:ind w:firstLine="709"/>
        <w:jc w:val="both"/>
        <w:rPr>
          <w:rFonts w:ascii="Times New Roman" w:hAnsi="Times New Roman" w:cs="Times New Roman"/>
          <w:sz w:val="24"/>
        </w:rPr>
      </w:pPr>
    </w:p>
    <w:sectPr w:rsidR="00CE1FB9" w:rsidRPr="0063603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C8" w:rsidRDefault="00361EC8" w:rsidP="0063603A">
      <w:pPr>
        <w:spacing w:after="0" w:line="240" w:lineRule="auto"/>
      </w:pPr>
      <w:r>
        <w:separator/>
      </w:r>
    </w:p>
  </w:endnote>
  <w:endnote w:type="continuationSeparator" w:id="0">
    <w:p w:rsidR="00361EC8" w:rsidRDefault="00361EC8" w:rsidP="0063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3A" w:rsidRDefault="0063603A" w:rsidP="00A156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603A" w:rsidRDefault="0063603A" w:rsidP="006360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3A" w:rsidRPr="0063603A" w:rsidRDefault="0063603A" w:rsidP="00A156A3">
    <w:pPr>
      <w:pStyle w:val="Altbilgi"/>
      <w:framePr w:wrap="around" w:vAnchor="text" w:hAnchor="margin" w:xAlign="right" w:y="1"/>
      <w:rPr>
        <w:rStyle w:val="SayfaNumaras"/>
        <w:rFonts w:ascii="Times New Roman" w:hAnsi="Times New Roman" w:cs="Times New Roman"/>
      </w:rPr>
    </w:pPr>
    <w:r w:rsidRPr="0063603A">
      <w:rPr>
        <w:rStyle w:val="SayfaNumaras"/>
        <w:rFonts w:ascii="Times New Roman" w:hAnsi="Times New Roman" w:cs="Times New Roman"/>
      </w:rPr>
      <w:fldChar w:fldCharType="begin"/>
    </w:r>
    <w:r w:rsidRPr="0063603A">
      <w:rPr>
        <w:rStyle w:val="SayfaNumaras"/>
        <w:rFonts w:ascii="Times New Roman" w:hAnsi="Times New Roman" w:cs="Times New Roman"/>
      </w:rPr>
      <w:instrText xml:space="preserve">PAGE  </w:instrText>
    </w:r>
    <w:r w:rsidRPr="0063603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603A">
      <w:rPr>
        <w:rStyle w:val="SayfaNumaras"/>
        <w:rFonts w:ascii="Times New Roman" w:hAnsi="Times New Roman" w:cs="Times New Roman"/>
      </w:rPr>
      <w:fldChar w:fldCharType="end"/>
    </w:r>
  </w:p>
  <w:p w:rsidR="0063603A" w:rsidRPr="0063603A" w:rsidRDefault="0063603A" w:rsidP="0063603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C8" w:rsidRDefault="00361EC8" w:rsidP="0063603A">
      <w:pPr>
        <w:spacing w:after="0" w:line="240" w:lineRule="auto"/>
      </w:pPr>
      <w:r>
        <w:separator/>
      </w:r>
    </w:p>
  </w:footnote>
  <w:footnote w:type="continuationSeparator" w:id="0">
    <w:p w:rsidR="00361EC8" w:rsidRDefault="00361EC8" w:rsidP="0063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3A" w:rsidRPr="0023548B" w:rsidRDefault="0063603A" w:rsidP="0063603A">
    <w:pPr>
      <w:spacing w:after="0" w:line="240" w:lineRule="auto"/>
      <w:jc w:val="both"/>
      <w:rPr>
        <w:rFonts w:ascii="Times New Roman" w:eastAsia="Times New Roman" w:hAnsi="Times New Roman" w:cs="Times New Roman"/>
        <w:b/>
        <w:color w:val="000000"/>
        <w:sz w:val="24"/>
        <w:szCs w:val="27"/>
        <w:lang w:eastAsia="tr-TR"/>
      </w:rPr>
    </w:pPr>
    <w:r w:rsidRPr="0023548B">
      <w:rPr>
        <w:rFonts w:ascii="Times New Roman" w:eastAsia="Times New Roman" w:hAnsi="Times New Roman" w:cs="Times New Roman"/>
        <w:b/>
        <w:bCs/>
        <w:color w:val="000000"/>
        <w:sz w:val="24"/>
        <w:szCs w:val="27"/>
        <w:lang w:eastAsia="tr-TR"/>
      </w:rPr>
      <w:t>Esas Sayısı : 2002/55</w:t>
    </w:r>
  </w:p>
  <w:p w:rsidR="0063603A" w:rsidRPr="0023548B" w:rsidRDefault="0063603A" w:rsidP="0063603A">
    <w:pPr>
      <w:spacing w:after="0" w:line="240" w:lineRule="auto"/>
      <w:jc w:val="both"/>
      <w:rPr>
        <w:rFonts w:ascii="Times New Roman" w:eastAsia="Times New Roman" w:hAnsi="Times New Roman" w:cs="Times New Roman"/>
        <w:b/>
        <w:color w:val="000000"/>
        <w:sz w:val="24"/>
        <w:szCs w:val="27"/>
        <w:lang w:eastAsia="tr-TR"/>
      </w:rPr>
    </w:pPr>
    <w:r w:rsidRPr="0023548B">
      <w:rPr>
        <w:rFonts w:ascii="Times New Roman" w:eastAsia="Times New Roman" w:hAnsi="Times New Roman" w:cs="Times New Roman"/>
        <w:b/>
        <w:bCs/>
        <w:color w:val="000000"/>
        <w:sz w:val="24"/>
        <w:szCs w:val="27"/>
        <w:lang w:eastAsia="tr-TR"/>
      </w:rPr>
      <w:t>Karar Sayısı : 2003/8</w:t>
    </w:r>
  </w:p>
  <w:p w:rsidR="0063603A" w:rsidRPr="0063603A" w:rsidRDefault="0063603A" w:rsidP="006360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3A"/>
    <w:rsid w:val="00361EC8"/>
    <w:rsid w:val="0063603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2FF6-590E-49C3-BE1C-39546AEB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60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6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603A"/>
  </w:style>
  <w:style w:type="paragraph" w:styleId="Altbilgi">
    <w:name w:val="footer"/>
    <w:basedOn w:val="Normal"/>
    <w:link w:val="AltbilgiChar"/>
    <w:uiPriority w:val="99"/>
    <w:unhideWhenUsed/>
    <w:rsid w:val="00636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603A"/>
  </w:style>
  <w:style w:type="character" w:styleId="SayfaNumaras">
    <w:name w:val="page number"/>
    <w:basedOn w:val="VarsaylanParagrafYazTipi"/>
    <w:uiPriority w:val="99"/>
    <w:semiHidden/>
    <w:unhideWhenUsed/>
    <w:rsid w:val="0063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2019-01-15T12:31:00Z</dcterms:created>
  <dcterms:modified xsi:type="dcterms:W3CDTF">2019-01-15T12:31:00Z</dcterms:modified>
</cp:coreProperties>
</file>